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49D538" w14:textId="47630FEA" w:rsidR="009B209C" w:rsidRDefault="009B209C">
      <w:pPr>
        <w:spacing w:after="200"/>
        <w:jc w:val="center"/>
        <w:rPr>
          <w:b/>
          <w:bCs/>
          <w:color w:val="1F3864"/>
          <w:sz w:val="48"/>
          <w:szCs w:val="48"/>
        </w:rPr>
      </w:pPr>
      <w:r>
        <w:rPr>
          <w:b/>
          <w:bCs/>
          <w:noProof/>
          <w:color w:val="1F3864"/>
          <w:sz w:val="48"/>
          <w:szCs w:val="48"/>
        </w:rPr>
        <w:drawing>
          <wp:inline distT="0" distB="0" distL="0" distR="0" wp14:anchorId="3E6670F4" wp14:editId="3932B60A">
            <wp:extent cx="5731510" cy="1906270"/>
            <wp:effectExtent l="0" t="0" r="2540" b="0"/>
            <wp:docPr id="451175235" name="Imagen 2" descr="Imagen que contiene exterior, grande, barco, agu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1175235" name="Imagen 2" descr="Imagen que contiene exterior, grande, barco, agua&#10;&#10;El contenido generado por IA puede ser incorrecto."/>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31510" cy="1906270"/>
                    </a:xfrm>
                    <a:prstGeom prst="rect">
                      <a:avLst/>
                    </a:prstGeom>
                  </pic:spPr>
                </pic:pic>
              </a:graphicData>
            </a:graphic>
          </wp:inline>
        </w:drawing>
      </w:r>
    </w:p>
    <w:p w14:paraId="19158B7C" w14:textId="414410EB" w:rsidR="002B0D8D" w:rsidRDefault="00094E99">
      <w:pPr>
        <w:spacing w:after="200"/>
        <w:jc w:val="center"/>
      </w:pPr>
      <w:r>
        <w:rPr>
          <w:b/>
          <w:bCs/>
          <w:color w:val="1F3864"/>
          <w:sz w:val="48"/>
          <w:szCs w:val="48"/>
        </w:rPr>
        <w:t>INFORME TÉCNICO CRÍTICO</w:t>
      </w:r>
    </w:p>
    <w:p w14:paraId="6A94C0B4" w14:textId="77777777" w:rsidR="002B0D8D" w:rsidRDefault="00094E99">
      <w:pPr>
        <w:pBdr>
          <w:bottom w:val="single" w:sz="12" w:space="4" w:color="2E5FA3"/>
        </w:pBdr>
        <w:spacing w:after="200"/>
        <w:jc w:val="center"/>
      </w:pPr>
      <w:r>
        <w:rPr>
          <w:sz w:val="24"/>
          <w:szCs w:val="24"/>
        </w:rPr>
        <w:t xml:space="preserve"> </w:t>
      </w:r>
    </w:p>
    <w:p w14:paraId="67B19D1E" w14:textId="77777777" w:rsidR="002B0D8D" w:rsidRDefault="00094E99">
      <w:pPr>
        <w:spacing w:before="200" w:after="120"/>
        <w:jc w:val="center"/>
      </w:pPr>
      <w:r>
        <w:rPr>
          <w:color w:val="2E5FA3"/>
          <w:sz w:val="32"/>
          <w:szCs w:val="32"/>
        </w:rPr>
        <w:t>ANÁLISIS Y EVALUACIÓN DEL</w:t>
      </w:r>
    </w:p>
    <w:p w14:paraId="23E57F09" w14:textId="77777777" w:rsidR="002B0D8D" w:rsidRDefault="00094E99">
      <w:pPr>
        <w:spacing w:after="120"/>
        <w:jc w:val="center"/>
      </w:pPr>
      <w:r>
        <w:rPr>
          <w:b/>
          <w:bCs/>
          <w:color w:val="1F3864"/>
          <w:sz w:val="36"/>
          <w:szCs w:val="36"/>
        </w:rPr>
        <w:t>PLAN ESTRATÉGICO DE TURISMO</w:t>
      </w:r>
    </w:p>
    <w:p w14:paraId="36474EC4" w14:textId="77777777" w:rsidR="002B0D8D" w:rsidRDefault="00094E99">
      <w:pPr>
        <w:spacing w:after="400"/>
        <w:jc w:val="center"/>
      </w:pPr>
      <w:r>
        <w:rPr>
          <w:b/>
          <w:bCs/>
          <w:color w:val="1F3864"/>
          <w:sz w:val="36"/>
          <w:szCs w:val="36"/>
        </w:rPr>
        <w:t>GIJÓN/XIXÓN 2025–2035</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2B0D8D" w14:paraId="26B51647" w14:textId="77777777">
        <w:tc>
          <w:tcPr>
            <w:tcW w:w="9026" w:type="dxa"/>
            <w:tcBorders>
              <w:top w:val="nil"/>
              <w:left w:val="nil"/>
              <w:bottom w:val="nil"/>
              <w:right w:val="nil"/>
            </w:tcBorders>
            <w:shd w:val="clear" w:color="auto" w:fill="D6E4F0"/>
            <w:tcMar>
              <w:top w:w="240" w:type="dxa"/>
              <w:left w:w="360" w:type="dxa"/>
              <w:bottom w:w="240" w:type="dxa"/>
              <w:right w:w="360" w:type="dxa"/>
            </w:tcMar>
          </w:tcPr>
          <w:p w14:paraId="68A58E84" w14:textId="77777777" w:rsidR="002B0D8D" w:rsidRDefault="00094E99">
            <w:pPr>
              <w:spacing w:after="80"/>
              <w:jc w:val="center"/>
            </w:pPr>
            <w:r>
              <w:rPr>
                <w:i/>
                <w:iCs/>
                <w:color w:val="1F3864"/>
              </w:rPr>
              <w:t>Identificación de inconsistencias metodológicas, lagunas analíticas</w:t>
            </w:r>
          </w:p>
          <w:p w14:paraId="32594B93" w14:textId="77777777" w:rsidR="002B0D8D" w:rsidRDefault="00094E99">
            <w:pPr>
              <w:jc w:val="center"/>
            </w:pPr>
            <w:r>
              <w:rPr>
                <w:i/>
                <w:iCs/>
                <w:color w:val="1F3864"/>
              </w:rPr>
              <w:t>y deficiencias estructurales en la planificación turística municipal</w:t>
            </w:r>
          </w:p>
        </w:tc>
      </w:tr>
    </w:tbl>
    <w:p w14:paraId="0C246D66" w14:textId="77777777" w:rsidR="002B0D8D" w:rsidRDefault="002B0D8D">
      <w:pPr>
        <w:spacing w:before="600" w:after="600"/>
      </w:pPr>
    </w:p>
    <w:p w14:paraId="6C85A018" w14:textId="77777777" w:rsidR="002B0D8D" w:rsidRDefault="00094E99">
      <w:pPr>
        <w:spacing w:after="80"/>
        <w:jc w:val="center"/>
      </w:pPr>
      <w:r>
        <w:rPr>
          <w:color w:val="666666"/>
        </w:rPr>
        <w:t>Gijón/</w:t>
      </w:r>
      <w:proofErr w:type="spellStart"/>
      <w:r>
        <w:rPr>
          <w:color w:val="666666"/>
        </w:rPr>
        <w:t>Xixón</w:t>
      </w:r>
      <w:proofErr w:type="spellEnd"/>
      <w:r>
        <w:rPr>
          <w:color w:val="666666"/>
        </w:rPr>
        <w:t>, febrero de 2026</w:t>
      </w:r>
    </w:p>
    <w:p w14:paraId="5D5BA1D7" w14:textId="77777777" w:rsidR="002B0D8D" w:rsidRDefault="00094E99">
      <w:pPr>
        <w:jc w:val="center"/>
      </w:pPr>
      <w:r>
        <w:rPr>
          <w:i/>
          <w:iCs/>
          <w:color w:val="666666"/>
        </w:rPr>
        <w:t>Informe técnico profesional independiente</w:t>
      </w:r>
    </w:p>
    <w:p w14:paraId="1F5CAF51" w14:textId="77777777" w:rsidR="002B0D8D" w:rsidRDefault="002B0D8D">
      <w:pPr>
        <w:sectPr w:rsidR="002B0D8D">
          <w:pgSz w:w="11906" w:h="16838"/>
          <w:pgMar w:top="1440" w:right="1440" w:bottom="1440" w:left="1440" w:header="708" w:footer="708" w:gutter="0"/>
          <w:cols w:space="720"/>
          <w:docGrid w:linePitch="360"/>
        </w:sectPr>
      </w:pPr>
    </w:p>
    <w:p w14:paraId="41BE73B8" w14:textId="77777777" w:rsidR="002B0D8D" w:rsidRDefault="00094E99">
      <w:pPr>
        <w:pStyle w:val="Ttulo1"/>
        <w:pBdr>
          <w:bottom w:val="single" w:sz="8" w:space="4" w:color="2E5FA3"/>
        </w:pBdr>
      </w:pPr>
      <w:r>
        <w:lastRenderedPageBreak/>
        <w:t>ÍNDICE</w:t>
      </w:r>
    </w:p>
    <w:p w14:paraId="426A23A6" w14:textId="77777777" w:rsidR="002B0D8D" w:rsidRDefault="00094E99">
      <w:pPr>
        <w:spacing w:before="80" w:after="80"/>
        <w:jc w:val="both"/>
      </w:pPr>
      <w:r>
        <w:rPr>
          <w:color w:val="333333"/>
        </w:rPr>
        <w:t>1.  Objeto y alcance del informe</w:t>
      </w:r>
    </w:p>
    <w:p w14:paraId="7CE66DEB" w14:textId="77777777" w:rsidR="002B0D8D" w:rsidRDefault="00094E99">
      <w:pPr>
        <w:spacing w:before="80" w:after="80"/>
        <w:jc w:val="both"/>
      </w:pPr>
      <w:r>
        <w:rPr>
          <w:color w:val="333333"/>
        </w:rPr>
        <w:t>2.  Problemas conceptuales de base</w:t>
      </w:r>
    </w:p>
    <w:p w14:paraId="2F13CFAD" w14:textId="77777777" w:rsidR="002B0D8D" w:rsidRDefault="00094E99">
      <w:pPr>
        <w:spacing w:before="80" w:after="80"/>
        <w:jc w:val="both"/>
      </w:pPr>
      <w:r>
        <w:rPr>
          <w:color w:val="333333"/>
        </w:rPr>
        <w:t xml:space="preserve">     </w:t>
      </w:r>
      <w:proofErr w:type="gramStart"/>
      <w:r>
        <w:rPr>
          <w:color w:val="333333"/>
        </w:rPr>
        <w:t>2.1  Confusión</w:t>
      </w:r>
      <w:proofErr w:type="gramEnd"/>
      <w:r>
        <w:rPr>
          <w:color w:val="333333"/>
        </w:rPr>
        <w:t xml:space="preserve"> entre turista, viajero y excursionista</w:t>
      </w:r>
    </w:p>
    <w:p w14:paraId="2612EAB4" w14:textId="77777777" w:rsidR="002B0D8D" w:rsidRDefault="00094E99">
      <w:pPr>
        <w:spacing w:before="80" w:after="80"/>
        <w:jc w:val="both"/>
      </w:pPr>
      <w:r>
        <w:rPr>
          <w:color w:val="333333"/>
        </w:rPr>
        <w:t xml:space="preserve">     </w:t>
      </w:r>
      <w:proofErr w:type="gramStart"/>
      <w:r>
        <w:rPr>
          <w:color w:val="333333"/>
        </w:rPr>
        <w:t>2.2  La</w:t>
      </w:r>
      <w:proofErr w:type="gramEnd"/>
      <w:r>
        <w:rPr>
          <w:color w:val="333333"/>
        </w:rPr>
        <w:t xml:space="preserve"> contradicción del eslogan central</w:t>
      </w:r>
    </w:p>
    <w:p w14:paraId="3EC2C07A" w14:textId="77777777" w:rsidR="002B0D8D" w:rsidRDefault="00094E99">
      <w:pPr>
        <w:spacing w:before="80" w:after="80"/>
        <w:jc w:val="both"/>
      </w:pPr>
      <w:r>
        <w:rPr>
          <w:color w:val="333333"/>
        </w:rPr>
        <w:t>3.  Deficiencias en los datos y las fuentes</w:t>
      </w:r>
    </w:p>
    <w:p w14:paraId="505ECDEE" w14:textId="77777777" w:rsidR="002B0D8D" w:rsidRDefault="00094E99">
      <w:pPr>
        <w:spacing w:before="80" w:after="80"/>
        <w:jc w:val="both"/>
      </w:pPr>
      <w:r>
        <w:rPr>
          <w:color w:val="333333"/>
        </w:rPr>
        <w:t xml:space="preserve">     </w:t>
      </w:r>
      <w:proofErr w:type="gramStart"/>
      <w:r>
        <w:rPr>
          <w:color w:val="333333"/>
        </w:rPr>
        <w:t>3.1  Fuentes</w:t>
      </w:r>
      <w:proofErr w:type="gramEnd"/>
      <w:r>
        <w:rPr>
          <w:color w:val="333333"/>
        </w:rPr>
        <w:t xml:space="preserve"> circulares y autovalidación</w:t>
      </w:r>
    </w:p>
    <w:p w14:paraId="600EF37C" w14:textId="77777777" w:rsidR="002B0D8D" w:rsidRDefault="00094E99">
      <w:pPr>
        <w:spacing w:before="80" w:after="80"/>
        <w:jc w:val="both"/>
      </w:pPr>
      <w:r>
        <w:rPr>
          <w:color w:val="333333"/>
        </w:rPr>
        <w:t xml:space="preserve">     </w:t>
      </w:r>
      <w:proofErr w:type="gramStart"/>
      <w:r>
        <w:rPr>
          <w:color w:val="333333"/>
        </w:rPr>
        <w:t>3.2  Datos</w:t>
      </w:r>
      <w:proofErr w:type="gramEnd"/>
      <w:r>
        <w:rPr>
          <w:color w:val="333333"/>
        </w:rPr>
        <w:t xml:space="preserve"> estadísticamente inverosímiles</w:t>
      </w:r>
    </w:p>
    <w:p w14:paraId="389FB596" w14:textId="77777777" w:rsidR="002B0D8D" w:rsidRDefault="00094E99">
      <w:pPr>
        <w:spacing w:before="80" w:after="80"/>
        <w:jc w:val="both"/>
      </w:pPr>
      <w:r>
        <w:rPr>
          <w:color w:val="333333"/>
        </w:rPr>
        <w:t xml:space="preserve">     </w:t>
      </w:r>
      <w:proofErr w:type="gramStart"/>
      <w:r>
        <w:rPr>
          <w:color w:val="333333"/>
        </w:rPr>
        <w:t>3.3  Métricas</w:t>
      </w:r>
      <w:proofErr w:type="gramEnd"/>
      <w:r>
        <w:rPr>
          <w:color w:val="333333"/>
        </w:rPr>
        <w:t xml:space="preserve"> de redes sociales sin metodología</w:t>
      </w:r>
    </w:p>
    <w:p w14:paraId="620617A7" w14:textId="77777777" w:rsidR="002B0D8D" w:rsidRDefault="00094E99">
      <w:pPr>
        <w:spacing w:before="80" w:after="80"/>
        <w:jc w:val="both"/>
      </w:pPr>
      <w:r>
        <w:rPr>
          <w:color w:val="333333"/>
        </w:rPr>
        <w:t>4.  Ausencias analíticas críticas</w:t>
      </w:r>
    </w:p>
    <w:p w14:paraId="1EC64B8B" w14:textId="77777777" w:rsidR="002B0D8D" w:rsidRDefault="00094E99">
      <w:pPr>
        <w:spacing w:before="80" w:after="80"/>
        <w:jc w:val="both"/>
      </w:pPr>
      <w:r>
        <w:rPr>
          <w:color w:val="333333"/>
        </w:rPr>
        <w:t xml:space="preserve">     </w:t>
      </w:r>
      <w:proofErr w:type="gramStart"/>
      <w:r>
        <w:rPr>
          <w:color w:val="333333"/>
        </w:rPr>
        <w:t>4.1  Impacto</w:t>
      </w:r>
      <w:proofErr w:type="gramEnd"/>
      <w:r>
        <w:rPr>
          <w:color w:val="333333"/>
        </w:rPr>
        <w:t xml:space="preserve"> sobre el mercado de vivienda</w:t>
      </w:r>
    </w:p>
    <w:p w14:paraId="384CE039" w14:textId="77777777" w:rsidR="002B0D8D" w:rsidRDefault="00094E99">
      <w:pPr>
        <w:spacing w:before="80" w:after="80"/>
        <w:jc w:val="both"/>
      </w:pPr>
      <w:r>
        <w:rPr>
          <w:color w:val="333333"/>
        </w:rPr>
        <w:t xml:space="preserve">     </w:t>
      </w:r>
      <w:proofErr w:type="gramStart"/>
      <w:r>
        <w:rPr>
          <w:color w:val="333333"/>
        </w:rPr>
        <w:t>4.2  Presión</w:t>
      </w:r>
      <w:proofErr w:type="gramEnd"/>
      <w:r>
        <w:rPr>
          <w:color w:val="333333"/>
        </w:rPr>
        <w:t xml:space="preserve"> demográfica y gentrificación turística</w:t>
      </w:r>
    </w:p>
    <w:p w14:paraId="7842C48B" w14:textId="77777777" w:rsidR="002B0D8D" w:rsidRDefault="00094E99">
      <w:pPr>
        <w:spacing w:before="80" w:after="80"/>
        <w:jc w:val="both"/>
      </w:pPr>
      <w:r>
        <w:rPr>
          <w:color w:val="333333"/>
        </w:rPr>
        <w:t xml:space="preserve">     </w:t>
      </w:r>
      <w:proofErr w:type="gramStart"/>
      <w:r>
        <w:rPr>
          <w:color w:val="333333"/>
        </w:rPr>
        <w:t>4.3  El</w:t>
      </w:r>
      <w:proofErr w:type="gramEnd"/>
      <w:r>
        <w:rPr>
          <w:color w:val="333333"/>
        </w:rPr>
        <w:t xml:space="preserve"> </w:t>
      </w:r>
      <w:proofErr w:type="spellStart"/>
      <w:r>
        <w:rPr>
          <w:color w:val="333333"/>
        </w:rPr>
        <w:t>workation</w:t>
      </w:r>
      <w:proofErr w:type="spellEnd"/>
      <w:r>
        <w:rPr>
          <w:color w:val="333333"/>
        </w:rPr>
        <w:t xml:space="preserve"> y el turismo residencial</w:t>
      </w:r>
    </w:p>
    <w:p w14:paraId="347B0088" w14:textId="77777777" w:rsidR="002B0D8D" w:rsidRDefault="00094E99">
      <w:pPr>
        <w:spacing w:before="80" w:after="80"/>
        <w:jc w:val="both"/>
      </w:pPr>
      <w:r>
        <w:rPr>
          <w:color w:val="333333"/>
        </w:rPr>
        <w:t>5.  Problemas metodológicos del benchmarking</w:t>
      </w:r>
    </w:p>
    <w:p w14:paraId="6DD03AF1" w14:textId="77777777" w:rsidR="002B0D8D" w:rsidRDefault="00094E99">
      <w:pPr>
        <w:spacing w:before="80" w:after="80"/>
        <w:jc w:val="both"/>
      </w:pPr>
      <w:r>
        <w:rPr>
          <w:color w:val="333333"/>
        </w:rPr>
        <w:t>6.  Debilidades en el proceso participativo</w:t>
      </w:r>
    </w:p>
    <w:p w14:paraId="68723213" w14:textId="77777777" w:rsidR="002B0D8D" w:rsidRDefault="00094E99">
      <w:pPr>
        <w:spacing w:before="80" w:after="80"/>
        <w:jc w:val="both"/>
      </w:pPr>
      <w:r>
        <w:rPr>
          <w:color w:val="333333"/>
        </w:rPr>
        <w:t>7.  El plan de acción: una estrategia sin operacionalizar</w:t>
      </w:r>
    </w:p>
    <w:p w14:paraId="7FF7ECEC" w14:textId="77777777" w:rsidR="002B0D8D" w:rsidRDefault="00094E99">
      <w:pPr>
        <w:spacing w:before="80" w:after="80"/>
        <w:jc w:val="both"/>
      </w:pPr>
      <w:r>
        <w:rPr>
          <w:color w:val="333333"/>
        </w:rPr>
        <w:t>8.  Inconsistencias entre visión, valores e indicadores</w:t>
      </w:r>
    </w:p>
    <w:p w14:paraId="65491AC2" w14:textId="77777777" w:rsidR="002B0D8D" w:rsidRDefault="00094E99">
      <w:pPr>
        <w:spacing w:before="80" w:after="80"/>
        <w:jc w:val="both"/>
      </w:pPr>
      <w:r>
        <w:rPr>
          <w:color w:val="333333"/>
        </w:rPr>
        <w:t>9.  Conclusiones y recomendaciones</w:t>
      </w:r>
    </w:p>
    <w:p w14:paraId="40947C96" w14:textId="77777777" w:rsidR="002B0D8D" w:rsidRDefault="00094E99">
      <w:pPr>
        <w:spacing w:before="80" w:after="80"/>
        <w:jc w:val="both"/>
      </w:pPr>
      <w:r>
        <w:rPr>
          <w:color w:val="333333"/>
        </w:rPr>
        <w:t>10. Referencias</w:t>
      </w:r>
    </w:p>
    <w:p w14:paraId="1B7C66DA" w14:textId="77777777" w:rsidR="002B0D8D" w:rsidRDefault="00094E99">
      <w:r>
        <w:br w:type="page"/>
      </w:r>
    </w:p>
    <w:p w14:paraId="0E82834E" w14:textId="77777777" w:rsidR="002B0D8D" w:rsidRDefault="00094E99">
      <w:pPr>
        <w:pStyle w:val="Ttulo1"/>
        <w:pBdr>
          <w:bottom w:val="single" w:sz="8" w:space="4" w:color="2E5FA3"/>
        </w:pBdr>
      </w:pPr>
      <w:r>
        <w:lastRenderedPageBreak/>
        <w:t>1. OBJETO Y ALCANCE DEL INFORME</w:t>
      </w:r>
    </w:p>
    <w:p w14:paraId="3FF3ED1A" w14:textId="77777777" w:rsidR="002B0D8D" w:rsidRDefault="00094E99">
      <w:pPr>
        <w:spacing w:before="80" w:after="80"/>
        <w:jc w:val="both"/>
      </w:pPr>
      <w:r>
        <w:rPr>
          <w:color w:val="333333"/>
        </w:rPr>
        <w:t>El presente informe tiene por objeto realizar una evaluación técnica e independiente del Plan Estratégico de Turismo de Gijón/</w:t>
      </w:r>
      <w:proofErr w:type="spellStart"/>
      <w:r>
        <w:rPr>
          <w:color w:val="333333"/>
        </w:rPr>
        <w:t>Xixón</w:t>
      </w:r>
      <w:proofErr w:type="spellEnd"/>
      <w:r>
        <w:rPr>
          <w:color w:val="333333"/>
        </w:rPr>
        <w:t xml:space="preserve"> 2025–2035 (en adelante, PET), presentado públicamente por el Ayuntamiento de Gijón/</w:t>
      </w:r>
      <w:proofErr w:type="spellStart"/>
      <w:r>
        <w:rPr>
          <w:color w:val="333333"/>
        </w:rPr>
        <w:t>Xixón</w:t>
      </w:r>
      <w:proofErr w:type="spellEnd"/>
      <w:r>
        <w:rPr>
          <w:color w:val="333333"/>
        </w:rPr>
        <w:t xml:space="preserve"> a través de la plataforma digital Visita Gijón.</w:t>
      </w:r>
    </w:p>
    <w:p w14:paraId="0BDBC6E8" w14:textId="77777777" w:rsidR="002B0D8D" w:rsidRDefault="00094E99">
      <w:pPr>
        <w:spacing w:before="80" w:after="80"/>
        <w:jc w:val="both"/>
      </w:pPr>
      <w:r>
        <w:rPr>
          <w:color w:val="333333"/>
        </w:rPr>
        <w:t>El análisis se centra en la identificación de inconsistencias metodológicas, lagunas analíticas, deficiencias en la fundamentación de los datos y vacíos estructurales que comprometen tanto la solidez técnica del documento como la viabilidad de su implementación.</w:t>
      </w:r>
    </w:p>
    <w:p w14:paraId="096A5833" w14:textId="77777777" w:rsidR="002B0D8D" w:rsidRDefault="00094E99">
      <w:pPr>
        <w:spacing w:before="80" w:after="80"/>
        <w:jc w:val="both"/>
      </w:pPr>
      <w:r>
        <w:rPr>
          <w:color w:val="333333"/>
        </w:rPr>
        <w:t>Este informe no cuestiona la legitimidad política del proceso ni el derecho de la administración municipal a definir su modelo turístico. Su propósito es estrictamente técnico: señalar con rigor las deficiencias que, de no corregirse, pueden invalidar los objetivos declarados del propio plan o generar efectos no deseados sobre la comunidad residente.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2B0D8D" w14:paraId="46B213B0" w14:textId="77777777">
        <w:tc>
          <w:tcPr>
            <w:tcW w:w="9360" w:type="dxa"/>
            <w:tcBorders>
              <w:top w:val="nil"/>
              <w:left w:val="nil"/>
              <w:bottom w:val="nil"/>
              <w:right w:val="nil"/>
            </w:tcBorders>
            <w:shd w:val="clear" w:color="auto" w:fill="D6E4F0"/>
            <w:tcMar>
              <w:top w:w="160" w:type="dxa"/>
              <w:left w:w="240" w:type="dxa"/>
              <w:bottom w:w="160" w:type="dxa"/>
              <w:right w:w="240" w:type="dxa"/>
            </w:tcMar>
          </w:tcPr>
          <w:p w14:paraId="4FC64C8E" w14:textId="77777777" w:rsidR="002B0D8D" w:rsidRDefault="00094E99">
            <w:pPr>
              <w:spacing w:after="80"/>
            </w:pPr>
            <w:r>
              <w:rPr>
                <w:b/>
                <w:bCs/>
                <w:color w:val="1F3864"/>
              </w:rPr>
              <w:t>Alcance del análisis</w:t>
            </w:r>
          </w:p>
          <w:p w14:paraId="0573CDFD" w14:textId="77777777" w:rsidR="002B0D8D" w:rsidRDefault="00094E99">
            <w:pPr>
              <w:jc w:val="both"/>
            </w:pPr>
            <w:r>
              <w:rPr>
                <w:color w:val="333333"/>
                <w:sz w:val="20"/>
                <w:szCs w:val="20"/>
              </w:rPr>
              <w:t>El informe se estructura en ocho bloques temáticos que cubren: errores conceptuales de base, problemas con las fuentes de datos, ausencias analíticas en dimensiones clave (vivienda, demografía, presión territorial), debilidades del benchmarking comparativo, limitaciones del proceso participativo y la ausencia de un plan de acción operativo con indicadores medibles.</w:t>
            </w:r>
          </w:p>
        </w:tc>
      </w:tr>
    </w:tbl>
    <w:p w14:paraId="38AA2A4B" w14:textId="77777777" w:rsidR="002B0D8D" w:rsidRDefault="002B0D8D">
      <w:pPr>
        <w:spacing w:before="100" w:after="100"/>
      </w:pPr>
    </w:p>
    <w:p w14:paraId="7325538A" w14:textId="77777777" w:rsidR="002B0D8D" w:rsidRDefault="00094E99">
      <w:pPr>
        <w:spacing w:before="80" w:after="80"/>
        <w:jc w:val="both"/>
      </w:pPr>
      <w:r>
        <w:rPr>
          <w:color w:val="333333"/>
        </w:rPr>
        <w:t>La metodología empleada combina el análisis interno del propio documento con su contraste frente a literatura académica especializada en planificación turística, estudios sobre impacto del turismo en ciudades medias y marcos metodológicos reconocidos en evaluación de estrategias de destino (UNWTO, OMT, OCDE).</w:t>
      </w:r>
    </w:p>
    <w:p w14:paraId="7A02BC3B" w14:textId="77777777" w:rsidR="002B0D8D" w:rsidRDefault="00094E99">
      <w:r>
        <w:br w:type="page"/>
      </w:r>
    </w:p>
    <w:p w14:paraId="55FC213D" w14:textId="77777777" w:rsidR="002B0D8D" w:rsidRDefault="00094E99">
      <w:pPr>
        <w:pStyle w:val="Ttulo1"/>
        <w:pBdr>
          <w:bottom w:val="single" w:sz="8" w:space="4" w:color="2E5FA3"/>
        </w:pBdr>
      </w:pPr>
      <w:r>
        <w:lastRenderedPageBreak/>
        <w:t>2. PROBLEMAS CONCEPTUALES DE BASE</w:t>
      </w:r>
    </w:p>
    <w:p w14:paraId="4493FA1A" w14:textId="77777777" w:rsidR="002B0D8D" w:rsidRDefault="00094E99">
      <w:pPr>
        <w:pStyle w:val="Ttulo2"/>
      </w:pPr>
      <w:r>
        <w:t>2.1 Confusión entre turista, viajero y excursionista</w:t>
      </w:r>
    </w:p>
    <w:p w14:paraId="7BEE8238" w14:textId="77777777" w:rsidR="002B0D8D" w:rsidRDefault="00094E99">
      <w:pPr>
        <w:spacing w:before="80" w:after="80"/>
        <w:jc w:val="both"/>
      </w:pPr>
      <w:r>
        <w:rPr>
          <w:color w:val="333333"/>
        </w:rPr>
        <w:t>Uno de los errores más significativos del PET es la utilización indistinta de los términos «turista», «viajero» y «visitante», categorías que en la metodología internacional de estadísticas turísticas tienen definiciones precisas y no intercambiables.</w:t>
      </w:r>
    </w:p>
    <w:p w14:paraId="0806A931" w14:textId="77777777" w:rsidR="002B0D8D" w:rsidRDefault="00094E99">
      <w:pPr>
        <w:spacing w:before="80" w:after="80"/>
        <w:jc w:val="both"/>
      </w:pPr>
      <w:r>
        <w:rPr>
          <w:color w:val="333333"/>
        </w:rPr>
        <w:t>Según la Organización Mundial del Turismo (OMT), en su documento Recomendaciones Internacionales para Estadísticas de Turismo 2008 (RIET 2008), las categorías se definen del siguiente modo:</w:t>
      </w:r>
    </w:p>
    <w:p w14:paraId="0295603F" w14:textId="77777777" w:rsidR="002B0D8D" w:rsidRDefault="002B0D8D">
      <w:pPr>
        <w:spacing w:before="60" w:after="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500"/>
        <w:gridCol w:w="3430"/>
        <w:gridCol w:w="3430"/>
      </w:tblGrid>
      <w:tr w:rsidR="002B0D8D" w14:paraId="29DFF8FF" w14:textId="77777777">
        <w:trPr>
          <w:tblHeader/>
        </w:trPr>
        <w:tc>
          <w:tcPr>
            <w:tcW w:w="250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tcPr>
          <w:p w14:paraId="379A0124" w14:textId="77777777" w:rsidR="002B0D8D" w:rsidRDefault="00094E99">
            <w:r>
              <w:rPr>
                <w:b/>
                <w:bCs/>
                <w:color w:val="FFFFFF"/>
                <w:sz w:val="20"/>
                <w:szCs w:val="20"/>
              </w:rPr>
              <w:t>Categoría</w:t>
            </w:r>
          </w:p>
        </w:tc>
        <w:tc>
          <w:tcPr>
            <w:tcW w:w="343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tcPr>
          <w:p w14:paraId="2A2A9B06" w14:textId="77777777" w:rsidR="002B0D8D" w:rsidRDefault="00094E99">
            <w:r>
              <w:rPr>
                <w:b/>
                <w:bCs/>
                <w:color w:val="FFFFFF"/>
                <w:sz w:val="20"/>
                <w:szCs w:val="20"/>
              </w:rPr>
              <w:t>Definición OMT</w:t>
            </w:r>
          </w:p>
        </w:tc>
        <w:tc>
          <w:tcPr>
            <w:tcW w:w="343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tcPr>
          <w:p w14:paraId="3F89F099" w14:textId="77777777" w:rsidR="002B0D8D" w:rsidRDefault="00094E99">
            <w:r>
              <w:rPr>
                <w:b/>
                <w:bCs/>
                <w:color w:val="FFFFFF"/>
                <w:sz w:val="20"/>
                <w:szCs w:val="20"/>
              </w:rPr>
              <w:t>Genera pernoctación</w:t>
            </w:r>
          </w:p>
        </w:tc>
      </w:tr>
      <w:tr w:rsidR="002B0D8D" w14:paraId="3B6B6C9F" w14:textId="77777777">
        <w:tc>
          <w:tcPr>
            <w:tcW w:w="25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0601932" w14:textId="77777777" w:rsidR="002B0D8D" w:rsidRDefault="00094E99">
            <w:r>
              <w:rPr>
                <w:color w:val="333333"/>
                <w:sz w:val="20"/>
                <w:szCs w:val="20"/>
              </w:rPr>
              <w:t>Turista</w:t>
            </w:r>
          </w:p>
        </w:tc>
        <w:tc>
          <w:tcPr>
            <w:tcW w:w="343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1B33C60" w14:textId="77777777" w:rsidR="002B0D8D" w:rsidRDefault="00094E99">
            <w:r>
              <w:rPr>
                <w:color w:val="333333"/>
                <w:sz w:val="20"/>
                <w:szCs w:val="20"/>
              </w:rPr>
              <w:t>Visitante que pernocta al menos una noche fuera de su entorno habitual</w:t>
            </w:r>
          </w:p>
        </w:tc>
        <w:tc>
          <w:tcPr>
            <w:tcW w:w="343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42004F7" w14:textId="77777777" w:rsidR="002B0D8D" w:rsidRDefault="00094E99">
            <w:r>
              <w:rPr>
                <w:color w:val="333333"/>
                <w:sz w:val="20"/>
                <w:szCs w:val="20"/>
              </w:rPr>
              <w:t>Sí</w:t>
            </w:r>
          </w:p>
        </w:tc>
      </w:tr>
      <w:tr w:rsidR="002B0D8D" w14:paraId="54D3592D" w14:textId="77777777">
        <w:tc>
          <w:tcPr>
            <w:tcW w:w="25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2332D107" w14:textId="77777777" w:rsidR="002B0D8D" w:rsidRDefault="00094E99">
            <w:r>
              <w:rPr>
                <w:color w:val="333333"/>
                <w:sz w:val="20"/>
                <w:szCs w:val="20"/>
              </w:rPr>
              <w:t>Excursionista</w:t>
            </w:r>
          </w:p>
        </w:tc>
        <w:tc>
          <w:tcPr>
            <w:tcW w:w="343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6F89B509" w14:textId="77777777" w:rsidR="002B0D8D" w:rsidRDefault="00094E99">
            <w:r>
              <w:rPr>
                <w:color w:val="333333"/>
                <w:sz w:val="20"/>
                <w:szCs w:val="20"/>
              </w:rPr>
              <w:t>Visitante de un solo día, sin pernoctación</w:t>
            </w:r>
          </w:p>
        </w:tc>
        <w:tc>
          <w:tcPr>
            <w:tcW w:w="343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10F2FCA7" w14:textId="77777777" w:rsidR="002B0D8D" w:rsidRDefault="00094E99">
            <w:r>
              <w:rPr>
                <w:color w:val="333333"/>
                <w:sz w:val="20"/>
                <w:szCs w:val="20"/>
              </w:rPr>
              <w:t>No</w:t>
            </w:r>
          </w:p>
        </w:tc>
      </w:tr>
      <w:tr w:rsidR="002B0D8D" w14:paraId="44BF25A1" w14:textId="77777777">
        <w:tc>
          <w:tcPr>
            <w:tcW w:w="25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B10EA44" w14:textId="77777777" w:rsidR="002B0D8D" w:rsidRDefault="00094E99">
            <w:r>
              <w:rPr>
                <w:color w:val="333333"/>
                <w:sz w:val="20"/>
                <w:szCs w:val="20"/>
              </w:rPr>
              <w:t>Viajero</w:t>
            </w:r>
          </w:p>
        </w:tc>
        <w:tc>
          <w:tcPr>
            <w:tcW w:w="343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2F80127" w14:textId="77777777" w:rsidR="002B0D8D" w:rsidRDefault="00094E99">
            <w:r>
              <w:rPr>
                <w:color w:val="333333"/>
                <w:sz w:val="20"/>
                <w:szCs w:val="20"/>
              </w:rPr>
              <w:t>Término genérico que engloba a turistas y excursionistas; no equivale a turista</w:t>
            </w:r>
          </w:p>
        </w:tc>
        <w:tc>
          <w:tcPr>
            <w:tcW w:w="343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F5115D3" w14:textId="77777777" w:rsidR="002B0D8D" w:rsidRDefault="00094E99">
            <w:r>
              <w:rPr>
                <w:color w:val="333333"/>
                <w:sz w:val="20"/>
                <w:szCs w:val="20"/>
              </w:rPr>
              <w:t>Variable</w:t>
            </w:r>
          </w:p>
        </w:tc>
      </w:tr>
    </w:tbl>
    <w:p w14:paraId="7413737E" w14:textId="77777777" w:rsidR="002B0D8D" w:rsidRDefault="002B0D8D">
      <w:pPr>
        <w:spacing w:before="100" w:after="100"/>
      </w:pPr>
    </w:p>
    <w:p w14:paraId="29429918" w14:textId="77777777" w:rsidR="002B0D8D" w:rsidRDefault="00094E99">
      <w:pPr>
        <w:spacing w:before="80" w:after="80"/>
        <w:jc w:val="both"/>
      </w:pPr>
      <w:r>
        <w:rPr>
          <w:color w:val="333333"/>
        </w:rPr>
        <w:t>El PET declara en su diagnóstico que Gijón/</w:t>
      </w:r>
      <w:proofErr w:type="spellStart"/>
      <w:r>
        <w:rPr>
          <w:color w:val="333333"/>
        </w:rPr>
        <w:t>Xixón</w:t>
      </w:r>
      <w:proofErr w:type="spellEnd"/>
      <w:r>
        <w:rPr>
          <w:color w:val="333333"/>
        </w:rPr>
        <w:t xml:space="preserve"> registró 410.156 «viajeros» en 2024, pero simultáneamente registra 858.000 pernoctaciones. La ratio resultante es de aproximadamente 2,09 pernoctaciones por «viajero», lo que indica estancias medias muy cortas. Sin embargo, el documento no desagrega qué porcentaje de esos 410.156 corresponde a turistas reales (con pernoctación) y qué porcentaje son excursionistas de paso.</w:t>
      </w:r>
    </w:p>
    <w:p w14:paraId="7AF7EBFB" w14:textId="77777777" w:rsidR="002B0D8D" w:rsidRDefault="00094E99">
      <w:pPr>
        <w:spacing w:before="80" w:after="80"/>
        <w:jc w:val="both"/>
      </w:pPr>
      <w:r>
        <w:rPr>
          <w:color w:val="333333"/>
        </w:rPr>
        <w:t>Esta distinción no es un tecnicismo irrelevante. Tiene consecuencias directas sobre:</w:t>
      </w:r>
    </w:p>
    <w:p w14:paraId="1424FA37" w14:textId="77777777" w:rsidR="002B0D8D" w:rsidRDefault="00094E99">
      <w:pPr>
        <w:pStyle w:val="Prrafodelista"/>
        <w:numPr>
          <w:ilvl w:val="0"/>
          <w:numId w:val="2"/>
        </w:numPr>
        <w:spacing w:before="60" w:after="60"/>
      </w:pPr>
      <w:r>
        <w:rPr>
          <w:color w:val="333333"/>
        </w:rPr>
        <w:t>El cálculo del impacto económico real, ya que un excursionista genera un gasto medio muy inferior al de un turista que pernocta.</w:t>
      </w:r>
    </w:p>
    <w:p w14:paraId="699FD789" w14:textId="77777777" w:rsidR="002B0D8D" w:rsidRDefault="00094E99">
      <w:pPr>
        <w:pStyle w:val="Prrafodelista"/>
        <w:numPr>
          <w:ilvl w:val="0"/>
          <w:numId w:val="2"/>
        </w:numPr>
        <w:spacing w:before="60" w:after="60"/>
      </w:pPr>
      <w:r>
        <w:rPr>
          <w:color w:val="333333"/>
        </w:rPr>
        <w:t>Las políticas de gestión de flujos, pues excursionistas y turistas requieren infraestructuras y estrategias completamente diferentes.</w:t>
      </w:r>
    </w:p>
    <w:p w14:paraId="341C8E84" w14:textId="77777777" w:rsidR="002B0D8D" w:rsidRDefault="00094E99">
      <w:pPr>
        <w:pStyle w:val="Prrafodelista"/>
        <w:numPr>
          <w:ilvl w:val="0"/>
          <w:numId w:val="2"/>
        </w:numPr>
        <w:spacing w:before="60" w:after="60"/>
      </w:pPr>
      <w:r>
        <w:rPr>
          <w:color w:val="333333"/>
        </w:rPr>
        <w:t>La medición de la presión sobre el espacio público, que es mucho mayor si el volumen de visitantes se concentra en pocas horas del día sin dispersarse a través del alojamiento.</w:t>
      </w:r>
    </w:p>
    <w:p w14:paraId="46943F6F" w14:textId="77777777" w:rsidR="002B0D8D" w:rsidRDefault="002B0D8D">
      <w:pPr>
        <w:spacing w:before="8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2B0D8D" w14:paraId="5361DF3F" w14:textId="77777777">
        <w:tc>
          <w:tcPr>
            <w:tcW w:w="9360" w:type="dxa"/>
            <w:tcBorders>
              <w:top w:val="nil"/>
              <w:left w:val="nil"/>
              <w:bottom w:val="nil"/>
              <w:right w:val="nil"/>
            </w:tcBorders>
            <w:shd w:val="clear" w:color="auto" w:fill="FFF3CD"/>
            <w:tcMar>
              <w:top w:w="160" w:type="dxa"/>
              <w:left w:w="240" w:type="dxa"/>
              <w:bottom w:w="160" w:type="dxa"/>
              <w:right w:w="240" w:type="dxa"/>
            </w:tcMar>
          </w:tcPr>
          <w:p w14:paraId="40526B3A" w14:textId="77777777" w:rsidR="002B0D8D" w:rsidRDefault="00094E99">
            <w:pPr>
              <w:spacing w:after="80"/>
            </w:pPr>
            <w:r>
              <w:rPr>
                <w:b/>
                <w:bCs/>
                <w:color w:val="7D5A00"/>
              </w:rPr>
              <w:t>Inconsistencia cuantitativa identificada</w:t>
            </w:r>
          </w:p>
          <w:p w14:paraId="34E86B1C" w14:textId="77777777" w:rsidR="002B0D8D" w:rsidRDefault="00094E99">
            <w:pPr>
              <w:jc w:val="both"/>
            </w:pPr>
            <w:r>
              <w:rPr>
                <w:color w:val="333333"/>
                <w:sz w:val="20"/>
                <w:szCs w:val="20"/>
              </w:rPr>
              <w:t>El plan no puede sostener simultáneamente que el turismo genera 12.513 empleos y 540 millones de euros en VAB si no distingue qué parte del flujo de 410.000 «viajeros» pernocta y cuál es de paso. Estos datos no son coherentes entre sí sin esa desagregación.</w:t>
            </w:r>
          </w:p>
        </w:tc>
      </w:tr>
    </w:tbl>
    <w:p w14:paraId="6CBE5810" w14:textId="77777777" w:rsidR="002B0D8D" w:rsidRDefault="002B0D8D">
      <w:pPr>
        <w:spacing w:before="100" w:after="100"/>
      </w:pPr>
    </w:p>
    <w:p w14:paraId="5D455865" w14:textId="77777777" w:rsidR="002B0D8D" w:rsidRDefault="00094E99">
      <w:pPr>
        <w:pStyle w:val="Ttulo2"/>
      </w:pPr>
      <w:r>
        <w:t>2.2 La contradicción del eslogan central: «una ciudad para visitar... y para vivir»</w:t>
      </w:r>
    </w:p>
    <w:p w14:paraId="485CFAD3" w14:textId="77777777" w:rsidR="002B0D8D" w:rsidRDefault="00094E99">
      <w:pPr>
        <w:spacing w:before="80" w:after="80"/>
        <w:jc w:val="both"/>
      </w:pPr>
      <w:r>
        <w:rPr>
          <w:color w:val="333333"/>
        </w:rPr>
        <w:t xml:space="preserve">El PET adopta como visión central el concepto de ciudad que es simultáneamente atractiva para visitar y para vivir, presentándolo como un equilibrio natural y deseable. Esta formulación, aunque comunicativamente eficaz, encierra una tensión estructural que la </w:t>
      </w:r>
      <w:r>
        <w:rPr>
          <w:color w:val="333333"/>
        </w:rPr>
        <w:lastRenderedPageBreak/>
        <w:t>literatura especializada documenta extensamente como uno de los principales conflictos del turismo urbano contemporáneo.</w:t>
      </w:r>
    </w:p>
    <w:p w14:paraId="320F4C37" w14:textId="77777777" w:rsidR="002B0D8D" w:rsidRDefault="00094E99">
      <w:pPr>
        <w:spacing w:before="80" w:after="80"/>
        <w:jc w:val="both"/>
      </w:pPr>
      <w:r>
        <w:rPr>
          <w:color w:val="333333"/>
        </w:rPr>
        <w:t xml:space="preserve">La evidencia acumulada en ciudades europeas de perfil similar (Dubrovnik, Ámsterdam, Barcelona, Lisboa, Florencia) demuestra </w:t>
      </w:r>
      <w:proofErr w:type="gramStart"/>
      <w:r>
        <w:rPr>
          <w:color w:val="333333"/>
        </w:rPr>
        <w:t>que</w:t>
      </w:r>
      <w:proofErr w:type="gramEnd"/>
      <w:r>
        <w:rPr>
          <w:color w:val="333333"/>
        </w:rPr>
        <w:t xml:space="preserve"> a partir de ciertos umbrales de intensidad turística, los atributos que hacen una ciudad atractiva para vivir (vivienda asequible, tranquilidad en el espacio público, servicios orientados a residentes, autenticidad del tejido comercial) son precisamente los que la actividad turística erosiona de forma progresiva y frecuentemente irreversible.</w:t>
      </w:r>
    </w:p>
    <w:p w14:paraId="0FEBB279" w14:textId="77777777" w:rsidR="002B0D8D" w:rsidRDefault="00094E99">
      <w:pPr>
        <w:spacing w:before="80" w:after="80"/>
        <w:jc w:val="both"/>
      </w:pPr>
      <w:r>
        <w:rPr>
          <w:color w:val="333333"/>
        </w:rPr>
        <w:t>El PET no reconoce este conflicto estructural, no lo cuantifica y no propone ningún mecanismo de evaluación que permita detectar el momento en que el crecimiento turístico comienza a degradar la calidad de vida residencial. La mención de las quejas vecinales sobre tráfico y aparcamiento en el capítulo de opinión ciudadana aparece desconectada de esta tensión central, como si fueran problemas operativos y no síntomas de un problema de fondo.</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2B0D8D" w14:paraId="1CFC2B0E" w14:textId="77777777">
        <w:tc>
          <w:tcPr>
            <w:tcW w:w="9360" w:type="dxa"/>
            <w:tcBorders>
              <w:top w:val="nil"/>
              <w:left w:val="nil"/>
              <w:bottom w:val="nil"/>
              <w:right w:val="nil"/>
            </w:tcBorders>
            <w:shd w:val="clear" w:color="auto" w:fill="D6E4F0"/>
            <w:tcMar>
              <w:top w:w="160" w:type="dxa"/>
              <w:left w:w="240" w:type="dxa"/>
              <w:bottom w:w="160" w:type="dxa"/>
              <w:right w:w="240" w:type="dxa"/>
            </w:tcMar>
          </w:tcPr>
          <w:p w14:paraId="602A934A" w14:textId="77777777" w:rsidR="002B0D8D" w:rsidRDefault="00094E99">
            <w:pPr>
              <w:spacing w:after="80"/>
            </w:pPr>
            <w:r>
              <w:rPr>
                <w:b/>
                <w:bCs/>
                <w:color w:val="1F3864"/>
              </w:rPr>
              <w:t>Referencia académica</w:t>
            </w:r>
          </w:p>
          <w:p w14:paraId="5C6154B9" w14:textId="77777777" w:rsidR="002B0D8D" w:rsidRDefault="00094E99">
            <w:pPr>
              <w:jc w:val="both"/>
            </w:pPr>
            <w:r>
              <w:rPr>
                <w:color w:val="333333"/>
                <w:sz w:val="20"/>
                <w:szCs w:val="20"/>
              </w:rPr>
              <w:t>Koens, Dessing y Postma (2018) en «</w:t>
            </w:r>
            <w:proofErr w:type="spellStart"/>
            <w:r>
              <w:rPr>
                <w:color w:val="333333"/>
                <w:sz w:val="20"/>
                <w:szCs w:val="20"/>
              </w:rPr>
              <w:t>Overtourism</w:t>
            </w:r>
            <w:proofErr w:type="spellEnd"/>
            <w:r>
              <w:rPr>
                <w:color w:val="333333"/>
                <w:sz w:val="20"/>
                <w:szCs w:val="20"/>
              </w:rPr>
              <w:t xml:space="preserve"> as a Form </w:t>
            </w:r>
            <w:proofErr w:type="spellStart"/>
            <w:r>
              <w:rPr>
                <w:color w:val="333333"/>
                <w:sz w:val="20"/>
                <w:szCs w:val="20"/>
              </w:rPr>
              <w:t>of</w:t>
            </w:r>
            <w:proofErr w:type="spellEnd"/>
            <w:r>
              <w:rPr>
                <w:color w:val="333333"/>
                <w:sz w:val="20"/>
                <w:szCs w:val="20"/>
              </w:rPr>
              <w:t xml:space="preserve"> </w:t>
            </w:r>
            <w:proofErr w:type="spellStart"/>
            <w:r>
              <w:rPr>
                <w:color w:val="333333"/>
                <w:sz w:val="20"/>
                <w:szCs w:val="20"/>
              </w:rPr>
              <w:t>Tourismphobia</w:t>
            </w:r>
            <w:proofErr w:type="spellEnd"/>
            <w:r>
              <w:rPr>
                <w:color w:val="333333"/>
                <w:sz w:val="20"/>
                <w:szCs w:val="20"/>
              </w:rPr>
              <w:t>» (</w:t>
            </w:r>
            <w:proofErr w:type="spellStart"/>
            <w:r>
              <w:rPr>
                <w:color w:val="333333"/>
                <w:sz w:val="20"/>
                <w:szCs w:val="20"/>
              </w:rPr>
              <w:t>Tourism</w:t>
            </w:r>
            <w:proofErr w:type="spellEnd"/>
            <w:r>
              <w:rPr>
                <w:color w:val="333333"/>
                <w:sz w:val="20"/>
                <w:szCs w:val="20"/>
              </w:rPr>
              <w:t>, MDPI) documentan que la percepción negativa del turismo por parte de los residentes emerge precisamente cuando los beneficios se concentran en el sector turístico mientras los costes (congestión, encarecimiento, pérdida de servicios cotidianos) se distribuyen sobre toda la población. El PET no incorpora ningún indicador para medir esta distribución.</w:t>
            </w:r>
          </w:p>
        </w:tc>
      </w:tr>
    </w:tbl>
    <w:p w14:paraId="110C7681" w14:textId="77777777" w:rsidR="002B0D8D" w:rsidRDefault="00094E99">
      <w:r>
        <w:br w:type="page"/>
      </w:r>
    </w:p>
    <w:p w14:paraId="262AF21B" w14:textId="77777777" w:rsidR="002B0D8D" w:rsidRDefault="00094E99">
      <w:pPr>
        <w:pStyle w:val="Ttulo1"/>
        <w:pBdr>
          <w:bottom w:val="single" w:sz="8" w:space="4" w:color="2E5FA3"/>
        </w:pBdr>
      </w:pPr>
      <w:r>
        <w:lastRenderedPageBreak/>
        <w:t>3. DEFICIENCIAS EN LOS DATOS Y LAS FUENTES</w:t>
      </w:r>
    </w:p>
    <w:p w14:paraId="5896B4F9" w14:textId="77777777" w:rsidR="002B0D8D" w:rsidRDefault="00094E99">
      <w:pPr>
        <w:pStyle w:val="Ttulo2"/>
      </w:pPr>
      <w:r>
        <w:t>3.1 Fuentes circulares y autovalidación</w:t>
      </w:r>
    </w:p>
    <w:p w14:paraId="28A99305" w14:textId="77777777" w:rsidR="002B0D8D" w:rsidRDefault="00094E99">
      <w:pPr>
        <w:spacing w:before="80" w:after="80"/>
        <w:jc w:val="both"/>
      </w:pPr>
      <w:r>
        <w:rPr>
          <w:color w:val="333333"/>
        </w:rPr>
        <w:t>Una proporción significativa de los datos cuantitativos del PET procede de una única fuente: el «Informe del turismo en Gijón/</w:t>
      </w:r>
      <w:proofErr w:type="spellStart"/>
      <w:r>
        <w:rPr>
          <w:color w:val="333333"/>
        </w:rPr>
        <w:t>Xixón</w:t>
      </w:r>
      <w:proofErr w:type="spellEnd"/>
      <w:r>
        <w:rPr>
          <w:color w:val="333333"/>
        </w:rPr>
        <w:t xml:space="preserve"> 2024, elaborado para Visita Gijón». Visita Gijón es el organismo municipal de promoción turística que, a su vez, es el promotor y principal ejecutor del PET. Esto configura una estructura de autovalidación en la que la misma entidad que diseña la estrategia produce, encarga y valida los datos que la fundamentan.</w:t>
      </w:r>
    </w:p>
    <w:p w14:paraId="0C79E323" w14:textId="77777777" w:rsidR="002B0D8D" w:rsidRDefault="00094E99">
      <w:pPr>
        <w:spacing w:before="80" w:after="80"/>
        <w:jc w:val="both"/>
      </w:pPr>
      <w:r>
        <w:rPr>
          <w:color w:val="333333"/>
        </w:rPr>
        <w:t>En términos de rigor metodológico, un plan estratégico de esta envergadura debería contrastar sus datos con fuentes externas e independientes como las siguientes:</w:t>
      </w:r>
    </w:p>
    <w:p w14:paraId="3B0B71A8" w14:textId="77777777" w:rsidR="002B0D8D" w:rsidRDefault="002B0D8D">
      <w:pPr>
        <w:spacing w:before="60" w:after="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500"/>
        <w:gridCol w:w="4860"/>
      </w:tblGrid>
      <w:tr w:rsidR="002B0D8D" w14:paraId="5BA6F878" w14:textId="77777777">
        <w:trPr>
          <w:tblHeader/>
        </w:trPr>
        <w:tc>
          <w:tcPr>
            <w:tcW w:w="450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tcPr>
          <w:p w14:paraId="41141FDC" w14:textId="77777777" w:rsidR="002B0D8D" w:rsidRDefault="00094E99">
            <w:r>
              <w:rPr>
                <w:b/>
                <w:bCs/>
                <w:color w:val="FFFFFF"/>
                <w:sz w:val="20"/>
                <w:szCs w:val="20"/>
              </w:rPr>
              <w:t>Dato del PET</w:t>
            </w:r>
          </w:p>
        </w:tc>
        <w:tc>
          <w:tcPr>
            <w:tcW w:w="486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tcPr>
          <w:p w14:paraId="3C170EFE" w14:textId="77777777" w:rsidR="002B0D8D" w:rsidRDefault="00094E99">
            <w:r>
              <w:rPr>
                <w:b/>
                <w:bCs/>
                <w:color w:val="FFFFFF"/>
                <w:sz w:val="20"/>
                <w:szCs w:val="20"/>
              </w:rPr>
              <w:t>Fuente independiente que debería contrastarse</w:t>
            </w:r>
          </w:p>
        </w:tc>
      </w:tr>
      <w:tr w:rsidR="002B0D8D" w14:paraId="3C05EF7C" w14:textId="77777777">
        <w:tc>
          <w:tcPr>
            <w:tcW w:w="45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F96F766" w14:textId="77777777" w:rsidR="002B0D8D" w:rsidRDefault="00094E99">
            <w:r>
              <w:rPr>
                <w:color w:val="333333"/>
                <w:sz w:val="20"/>
                <w:szCs w:val="20"/>
              </w:rPr>
              <w:t>410.156 viajeros en 2024</w:t>
            </w:r>
          </w:p>
        </w:tc>
        <w:tc>
          <w:tcPr>
            <w:tcW w:w="48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D9DDBCC" w14:textId="77777777" w:rsidR="002B0D8D" w:rsidRDefault="00094E99">
            <w:r>
              <w:rPr>
                <w:color w:val="333333"/>
                <w:sz w:val="20"/>
                <w:szCs w:val="20"/>
              </w:rPr>
              <w:t>INE — Encuesta de Ocupación Hotelera (EOH); Encuesta de Turismo de Residentes (ETR)</w:t>
            </w:r>
          </w:p>
        </w:tc>
      </w:tr>
      <w:tr w:rsidR="002B0D8D" w14:paraId="70060B52" w14:textId="77777777">
        <w:tc>
          <w:tcPr>
            <w:tcW w:w="45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4AC141BC" w14:textId="77777777" w:rsidR="002B0D8D" w:rsidRDefault="00094E99">
            <w:r>
              <w:rPr>
                <w:color w:val="333333"/>
                <w:sz w:val="20"/>
                <w:szCs w:val="20"/>
              </w:rPr>
              <w:t>12.513 empleos turísticos (+35,6%)</w:t>
            </w:r>
          </w:p>
        </w:tc>
        <w:tc>
          <w:tcPr>
            <w:tcW w:w="486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7303B364" w14:textId="77777777" w:rsidR="002B0D8D" w:rsidRDefault="00094E99">
            <w:r>
              <w:rPr>
                <w:color w:val="333333"/>
                <w:sz w:val="20"/>
                <w:szCs w:val="20"/>
              </w:rPr>
              <w:t>Tesorería de la Seguridad Social; EPA (Encuesta de Población Activa)</w:t>
            </w:r>
          </w:p>
        </w:tc>
      </w:tr>
      <w:tr w:rsidR="002B0D8D" w14:paraId="476F6C1B" w14:textId="77777777">
        <w:tc>
          <w:tcPr>
            <w:tcW w:w="45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2ED3CB4" w14:textId="77777777" w:rsidR="002B0D8D" w:rsidRDefault="00094E99">
            <w:r>
              <w:rPr>
                <w:color w:val="333333"/>
                <w:sz w:val="20"/>
                <w:szCs w:val="20"/>
              </w:rPr>
              <w:t>540M€ en VAB turístico (+51%)</w:t>
            </w:r>
          </w:p>
        </w:tc>
        <w:tc>
          <w:tcPr>
            <w:tcW w:w="48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23E9F3B" w14:textId="77777777" w:rsidR="002B0D8D" w:rsidRDefault="00094E99">
            <w:r>
              <w:rPr>
                <w:color w:val="333333"/>
                <w:sz w:val="20"/>
                <w:szCs w:val="20"/>
              </w:rPr>
              <w:t>Contabilidad Regional de España (INE); estudios de impacto económico independientes</w:t>
            </w:r>
          </w:p>
        </w:tc>
      </w:tr>
      <w:tr w:rsidR="002B0D8D" w14:paraId="04650ADF" w14:textId="77777777">
        <w:tc>
          <w:tcPr>
            <w:tcW w:w="45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18932133" w14:textId="77777777" w:rsidR="002B0D8D" w:rsidRDefault="00094E99">
            <w:r>
              <w:rPr>
                <w:color w:val="333333"/>
                <w:sz w:val="20"/>
                <w:szCs w:val="20"/>
              </w:rPr>
              <w:t>Gasto medio 70,7€/persona/día</w:t>
            </w:r>
          </w:p>
        </w:tc>
        <w:tc>
          <w:tcPr>
            <w:tcW w:w="486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5F6D6FC0" w14:textId="77777777" w:rsidR="002B0D8D" w:rsidRDefault="00094E99">
            <w:r>
              <w:rPr>
                <w:color w:val="333333"/>
                <w:sz w:val="20"/>
                <w:szCs w:val="20"/>
              </w:rPr>
              <w:t>Encuesta de Gasto Turístico (EGATUR) del INE para contraste regional</w:t>
            </w:r>
          </w:p>
        </w:tc>
      </w:tr>
      <w:tr w:rsidR="002B0D8D" w14:paraId="7CB6723E" w14:textId="77777777">
        <w:tc>
          <w:tcPr>
            <w:tcW w:w="45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35EB2A0" w14:textId="77777777" w:rsidR="002B0D8D" w:rsidRDefault="00094E99">
            <w:r>
              <w:rPr>
                <w:color w:val="333333"/>
                <w:sz w:val="20"/>
                <w:szCs w:val="20"/>
              </w:rPr>
              <w:t>Perfil sociodemográfico del turista</w:t>
            </w:r>
          </w:p>
        </w:tc>
        <w:tc>
          <w:tcPr>
            <w:tcW w:w="48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2F78502" w14:textId="77777777" w:rsidR="002B0D8D" w:rsidRDefault="00094E99">
            <w:r>
              <w:rPr>
                <w:color w:val="333333"/>
                <w:sz w:val="20"/>
                <w:szCs w:val="20"/>
              </w:rPr>
              <w:t>Ministerio de Industria, Turismo y Comercio; Turespaña</w:t>
            </w:r>
          </w:p>
        </w:tc>
      </w:tr>
    </w:tbl>
    <w:p w14:paraId="7E49B087" w14:textId="77777777" w:rsidR="002B0D8D" w:rsidRDefault="002B0D8D">
      <w:pPr>
        <w:spacing w:before="100" w:after="100"/>
      </w:pPr>
    </w:p>
    <w:p w14:paraId="6C061C8F" w14:textId="77777777" w:rsidR="002B0D8D" w:rsidRDefault="00094E99">
      <w:pPr>
        <w:spacing w:before="80" w:after="80"/>
        <w:jc w:val="both"/>
      </w:pPr>
      <w:r>
        <w:rPr>
          <w:color w:val="333333"/>
        </w:rPr>
        <w:t>La ausencia de este contraste no convierte los datos en incorrectos, pero sí los hace no verificables, lo que es incompatible con las exigencias metodológicas de un informe técnico que fundamenta decisiones de política pública con horizonte decenal.</w:t>
      </w:r>
    </w:p>
    <w:p w14:paraId="41827AFB" w14:textId="77777777" w:rsidR="002B0D8D" w:rsidRDefault="00094E99">
      <w:pPr>
        <w:pStyle w:val="Ttulo2"/>
      </w:pPr>
      <w:r>
        <w:t>3.2 Datos estadísticamente inverosímiles sin explicación</w:t>
      </w:r>
    </w:p>
    <w:p w14:paraId="45B4D1B7" w14:textId="77777777" w:rsidR="002B0D8D" w:rsidRDefault="00094E99">
      <w:pPr>
        <w:spacing w:before="80" w:after="80"/>
        <w:jc w:val="both"/>
      </w:pPr>
      <w:r>
        <w:rPr>
          <w:color w:val="333333"/>
        </w:rPr>
        <w:t>Dos de los datos más prominentes del diagnóstico del PET presentan variaciones interanuales de tal magnitud que exigen una explicación metodológica que el documento no ofrece:</w:t>
      </w:r>
    </w:p>
    <w:p w14:paraId="44DE2DDA" w14:textId="77777777" w:rsidR="002B0D8D" w:rsidRDefault="002B0D8D">
      <w:pPr>
        <w:spacing w:before="60" w:after="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00"/>
        <w:gridCol w:w="6360"/>
      </w:tblGrid>
      <w:tr w:rsidR="002B0D8D" w14:paraId="7A6F6D66" w14:textId="77777777">
        <w:trPr>
          <w:tblHeader/>
        </w:trPr>
        <w:tc>
          <w:tcPr>
            <w:tcW w:w="300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tcPr>
          <w:p w14:paraId="1A91CBE8" w14:textId="77777777" w:rsidR="002B0D8D" w:rsidRDefault="00094E99">
            <w:r>
              <w:rPr>
                <w:b/>
                <w:bCs/>
                <w:color w:val="FFFFFF"/>
                <w:sz w:val="20"/>
                <w:szCs w:val="20"/>
              </w:rPr>
              <w:t>Dato declarado</w:t>
            </w:r>
          </w:p>
        </w:tc>
        <w:tc>
          <w:tcPr>
            <w:tcW w:w="636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tcPr>
          <w:p w14:paraId="6648303C" w14:textId="77777777" w:rsidR="002B0D8D" w:rsidRDefault="00094E99">
            <w:r>
              <w:rPr>
                <w:b/>
                <w:bCs/>
                <w:color w:val="FFFFFF"/>
                <w:sz w:val="20"/>
                <w:szCs w:val="20"/>
              </w:rPr>
              <w:t>Problema metodológico</w:t>
            </w:r>
          </w:p>
        </w:tc>
      </w:tr>
      <w:tr w:rsidR="002B0D8D" w14:paraId="57ED9FB8" w14:textId="77777777">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FC4C8B5" w14:textId="77777777" w:rsidR="002B0D8D" w:rsidRDefault="00094E99">
            <w:r>
              <w:rPr>
                <w:color w:val="333333"/>
                <w:sz w:val="20"/>
                <w:szCs w:val="20"/>
              </w:rPr>
              <w:t>Incremento del 51% en el VAB turístico de 2023 a 2024</w:t>
            </w:r>
          </w:p>
        </w:tc>
        <w:tc>
          <w:tcPr>
            <w:tcW w:w="63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B549BE6" w14:textId="77777777" w:rsidR="002B0D8D" w:rsidRDefault="00094E99">
            <w:r>
              <w:rPr>
                <w:color w:val="333333"/>
                <w:sz w:val="20"/>
                <w:szCs w:val="20"/>
              </w:rPr>
              <w:t xml:space="preserve">Un crecimiento del VAB de más del 50% en un solo año es extraordinario en cualquier sector económico. Ni siquiera el efecto rebote </w:t>
            </w:r>
            <w:proofErr w:type="spellStart"/>
            <w:r>
              <w:rPr>
                <w:color w:val="333333"/>
                <w:sz w:val="20"/>
                <w:szCs w:val="20"/>
              </w:rPr>
              <w:t>postpandémico</w:t>
            </w:r>
            <w:proofErr w:type="spellEnd"/>
            <w:r>
              <w:rPr>
                <w:color w:val="333333"/>
                <w:sz w:val="20"/>
                <w:szCs w:val="20"/>
              </w:rPr>
              <w:t>, que se produjo entre 2021 y 2022, generó incrementos de esta magnitud en destinos comparables. El documento no explica qué metodología de cálculo produce este resultado, ni si se debe a un cambio en el perímetro de actividades incluidas en el cómputo del VAB turístico.</w:t>
            </w:r>
          </w:p>
        </w:tc>
      </w:tr>
      <w:tr w:rsidR="002B0D8D" w14:paraId="04B073C0" w14:textId="77777777">
        <w:tc>
          <w:tcPr>
            <w:tcW w:w="30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52153587" w14:textId="77777777" w:rsidR="002B0D8D" w:rsidRDefault="00094E99">
            <w:r>
              <w:rPr>
                <w:color w:val="333333"/>
                <w:sz w:val="20"/>
                <w:szCs w:val="20"/>
              </w:rPr>
              <w:t>Incremento del 35,6% en empleo turístico de 2023 a 2024</w:t>
            </w:r>
          </w:p>
        </w:tc>
        <w:tc>
          <w:tcPr>
            <w:tcW w:w="636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12B35429" w14:textId="77777777" w:rsidR="002B0D8D" w:rsidRDefault="00094E99">
            <w:r>
              <w:rPr>
                <w:color w:val="333333"/>
                <w:sz w:val="20"/>
                <w:szCs w:val="20"/>
              </w:rPr>
              <w:t>Un crecimiento del empleo del 35% en un año equivaldría a la creación de aproximadamente 3.300 nuevos puestos de trabajo en el sector turístico de Gijón en doce meses. Si fuera real, constituiría un hecho de primer orden en el mercado laboral asturiano, ampliamente documentado en estadísticas oficiales. No existe evidencia pública de ese crecimiento en las series de afiliación a la Seguridad Social publicadas por el MITES.</w:t>
            </w:r>
          </w:p>
        </w:tc>
      </w:tr>
    </w:tbl>
    <w:p w14:paraId="005551D7" w14:textId="77777777" w:rsidR="002B0D8D" w:rsidRDefault="002B0D8D">
      <w:pPr>
        <w:spacing w:before="100" w:after="100"/>
      </w:pPr>
    </w:p>
    <w:p w14:paraId="64314459" w14:textId="77777777" w:rsidR="002B0D8D" w:rsidRDefault="00094E99">
      <w:pPr>
        <w:pStyle w:val="Ttulo2"/>
      </w:pPr>
      <w:r>
        <w:t>3.3 Métricas de redes sociales sin metodología declarada</w:t>
      </w:r>
    </w:p>
    <w:p w14:paraId="511800B8" w14:textId="77777777" w:rsidR="002B0D8D" w:rsidRDefault="00094E99">
      <w:pPr>
        <w:spacing w:before="80" w:after="80"/>
        <w:jc w:val="both"/>
      </w:pPr>
      <w:r>
        <w:rPr>
          <w:color w:val="333333"/>
        </w:rPr>
        <w:t>El Plan de Marketing del PET incorpora los siguientes datos sobre la presencia digital del destino:</w:t>
      </w:r>
    </w:p>
    <w:p w14:paraId="20E07AC6" w14:textId="77777777" w:rsidR="002B0D8D" w:rsidRDefault="00094E99">
      <w:pPr>
        <w:pStyle w:val="Prrafodelista"/>
        <w:numPr>
          <w:ilvl w:val="0"/>
          <w:numId w:val="2"/>
        </w:numPr>
        <w:spacing w:before="60" w:after="60"/>
      </w:pPr>
      <w:r>
        <w:rPr>
          <w:color w:val="333333"/>
        </w:rPr>
        <w:t>99,59% de comentarios positivos en Instagram</w:t>
      </w:r>
    </w:p>
    <w:p w14:paraId="5ED2AEEE" w14:textId="77777777" w:rsidR="002B0D8D" w:rsidRDefault="00094E99">
      <w:pPr>
        <w:pStyle w:val="Prrafodelista"/>
        <w:numPr>
          <w:ilvl w:val="0"/>
          <w:numId w:val="2"/>
        </w:numPr>
        <w:spacing w:before="60" w:after="60"/>
      </w:pPr>
      <w:r>
        <w:rPr>
          <w:color w:val="333333"/>
        </w:rPr>
        <w:t>94,6% de sentimiento positivo en TikTok</w:t>
      </w:r>
    </w:p>
    <w:p w14:paraId="538DD8B8" w14:textId="77777777" w:rsidR="002B0D8D" w:rsidRDefault="00094E99">
      <w:pPr>
        <w:pStyle w:val="Prrafodelista"/>
        <w:numPr>
          <w:ilvl w:val="0"/>
          <w:numId w:val="2"/>
        </w:numPr>
        <w:spacing w:before="60" w:after="60"/>
      </w:pPr>
      <w:r>
        <w:rPr>
          <w:color w:val="333333"/>
        </w:rPr>
        <w:t>1,7 millones de visualizaciones de campaña en YouTube</w:t>
      </w:r>
    </w:p>
    <w:p w14:paraId="03BFF924" w14:textId="77777777" w:rsidR="002B0D8D" w:rsidRDefault="002B0D8D">
      <w:pPr>
        <w:spacing w:before="80" w:after="80"/>
      </w:pPr>
    </w:p>
    <w:p w14:paraId="76C59BF0" w14:textId="77777777" w:rsidR="002B0D8D" w:rsidRDefault="00094E99">
      <w:pPr>
        <w:spacing w:before="80" w:after="80"/>
        <w:jc w:val="both"/>
      </w:pPr>
      <w:r>
        <w:rPr>
          <w:color w:val="333333"/>
        </w:rPr>
        <w:t>Estos datos adolecen de un problema metodológico fundamental: no especifican el universo de análisis (¿qué publicaciones se analizaron?), el período temporal de la medición, el instrumento o herramienta de análisis de sentimiento utilizado, ni si se incluyeron o excluyeron comentarios en idiomas distintos al castellano.</w:t>
      </w:r>
    </w:p>
    <w:p w14:paraId="15FC396E" w14:textId="77777777" w:rsidR="002B0D8D" w:rsidRDefault="00094E99">
      <w:pPr>
        <w:spacing w:before="80" w:after="80"/>
        <w:jc w:val="both"/>
      </w:pPr>
      <w:r>
        <w:rPr>
          <w:color w:val="333333"/>
        </w:rPr>
        <w:t xml:space="preserve">Los porcentajes de sentimiento positivo en el rango del 94–99% son estadísticamente inusuales en análisis de redes sociales de destinos turísticos. Para su contexto, estudios académicos sobre </w:t>
      </w:r>
      <w:proofErr w:type="spellStart"/>
      <w:r>
        <w:rPr>
          <w:color w:val="333333"/>
        </w:rPr>
        <w:t>sentiment</w:t>
      </w:r>
      <w:proofErr w:type="spellEnd"/>
      <w:r>
        <w:rPr>
          <w:color w:val="333333"/>
        </w:rPr>
        <w:t xml:space="preserve"> </w:t>
      </w:r>
      <w:proofErr w:type="spellStart"/>
      <w:r>
        <w:rPr>
          <w:color w:val="333333"/>
        </w:rPr>
        <w:t>analysis</w:t>
      </w:r>
      <w:proofErr w:type="spellEnd"/>
      <w:r>
        <w:rPr>
          <w:color w:val="333333"/>
        </w:rPr>
        <w:t xml:space="preserve"> en turismo (</w:t>
      </w:r>
      <w:proofErr w:type="spellStart"/>
      <w:r>
        <w:rPr>
          <w:color w:val="333333"/>
        </w:rPr>
        <w:t>Filieri</w:t>
      </w:r>
      <w:proofErr w:type="spellEnd"/>
      <w:r>
        <w:rPr>
          <w:color w:val="333333"/>
        </w:rPr>
        <w:t xml:space="preserve"> et al., 2019; Xiang et al., 2017) documentan típicamente porcentajes positivos en el rango del 60–80%, con variaciones significativas según la plataforma y el tipo de contenido. Un resultado del 99,59% sugiere bien una metodología que sesgó la selección de publicaciones analizadas, o bien una herramienta de análisis de sentimiento no calibrada para el contexto del destino.</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2B0D8D" w14:paraId="317F5C42" w14:textId="77777777">
        <w:tc>
          <w:tcPr>
            <w:tcW w:w="9360" w:type="dxa"/>
            <w:tcBorders>
              <w:top w:val="nil"/>
              <w:left w:val="nil"/>
              <w:bottom w:val="nil"/>
              <w:right w:val="nil"/>
            </w:tcBorders>
            <w:shd w:val="clear" w:color="auto" w:fill="FFE8E8"/>
            <w:tcMar>
              <w:top w:w="160" w:type="dxa"/>
              <w:left w:w="240" w:type="dxa"/>
              <w:bottom w:w="160" w:type="dxa"/>
              <w:right w:w="240" w:type="dxa"/>
            </w:tcMar>
          </w:tcPr>
          <w:p w14:paraId="0833F287" w14:textId="77777777" w:rsidR="002B0D8D" w:rsidRDefault="00094E99">
            <w:pPr>
              <w:spacing w:after="80"/>
            </w:pPr>
            <w:r>
              <w:rPr>
                <w:b/>
                <w:bCs/>
                <w:color w:val="C0392B"/>
              </w:rPr>
              <w:t>Conclusión sobre las fuentes</w:t>
            </w:r>
          </w:p>
          <w:p w14:paraId="4BEBD60C" w14:textId="77777777" w:rsidR="002B0D8D" w:rsidRDefault="00094E99">
            <w:pPr>
              <w:jc w:val="both"/>
            </w:pPr>
            <w:r>
              <w:rPr>
                <w:color w:val="333333"/>
                <w:sz w:val="20"/>
                <w:szCs w:val="20"/>
              </w:rPr>
              <w:t>El PET utiliza los datos como elementos de legitimación retórica de decisiones previamente adoptadas, en lugar de como fundamento empírico que las justifica. Esta inversión del orden lógico —de la conclusión a los datos, y no de los datos a la conclusión— es el problema metodológico más grave del documento.</w:t>
            </w:r>
          </w:p>
        </w:tc>
      </w:tr>
    </w:tbl>
    <w:p w14:paraId="7E0317E7" w14:textId="77777777" w:rsidR="002B0D8D" w:rsidRDefault="00094E99">
      <w:r>
        <w:br w:type="page"/>
      </w:r>
    </w:p>
    <w:p w14:paraId="57B90781" w14:textId="77777777" w:rsidR="002B0D8D" w:rsidRDefault="00094E99">
      <w:pPr>
        <w:pStyle w:val="Ttulo1"/>
        <w:pBdr>
          <w:bottom w:val="single" w:sz="8" w:space="4" w:color="2E5FA3"/>
        </w:pBdr>
      </w:pPr>
      <w:r>
        <w:lastRenderedPageBreak/>
        <w:t>4. AUSENCIAS ANALÍTICAS CRÍTICAS</w:t>
      </w:r>
    </w:p>
    <w:p w14:paraId="7061D32D" w14:textId="77777777" w:rsidR="002B0D8D" w:rsidRDefault="00094E99">
      <w:pPr>
        <w:pStyle w:val="Ttulo2"/>
      </w:pPr>
      <w:r>
        <w:t>4.1 Impacto sobre el mercado de vivienda: la gran laguna del plan</w:t>
      </w:r>
    </w:p>
    <w:p w14:paraId="73EF5417" w14:textId="77777777" w:rsidR="002B0D8D" w:rsidRDefault="00094E99">
      <w:pPr>
        <w:spacing w:before="80" w:after="80"/>
        <w:jc w:val="both"/>
      </w:pPr>
      <w:r>
        <w:rPr>
          <w:color w:val="333333"/>
        </w:rPr>
        <w:t>El PET incluye en su diagnóstico un dato de enorme relevancia que, sin embargo, no es objeto de ningún análisis posterior: la existencia de 2.180 viviendas turísticas (VV+VUT) con 10.632 plazas en el municipio de Gijón/</w:t>
      </w:r>
      <w:proofErr w:type="spellStart"/>
      <w:r>
        <w:rPr>
          <w:color w:val="333333"/>
        </w:rPr>
        <w:t>Xixón</w:t>
      </w:r>
      <w:proofErr w:type="spellEnd"/>
      <w:r>
        <w:rPr>
          <w:color w:val="333333"/>
        </w:rPr>
        <w:t>, según el Registro de Empresas Turísticas del Principado de Asturias (enero de 2026).</w:t>
      </w:r>
    </w:p>
    <w:p w14:paraId="3F79E22D" w14:textId="77777777" w:rsidR="002B0D8D" w:rsidRDefault="00094E99">
      <w:pPr>
        <w:spacing w:before="80" w:after="80"/>
        <w:jc w:val="both"/>
      </w:pPr>
      <w:r>
        <w:rPr>
          <w:color w:val="333333"/>
        </w:rPr>
        <w:t>Esta cifra representa una sustracción significativa del parque residencial del municipio. Según el Censo de Población y Viviendas del INE (2021), Gijón cuenta con aproximadamente 140.000 viviendas principales. Las 2.180 viviendas turísticas registradas suponen, por tanto, en torno al 1,6% del parque residencial, con concentración muy probablemente superior en los barrios centrales y costeros.</w:t>
      </w:r>
    </w:p>
    <w:p w14:paraId="41E6C0DF" w14:textId="77777777" w:rsidR="002B0D8D" w:rsidRDefault="00094E99">
      <w:pPr>
        <w:spacing w:before="80" w:after="80"/>
        <w:jc w:val="both"/>
      </w:pPr>
      <w:r>
        <w:rPr>
          <w:color w:val="333333"/>
        </w:rPr>
        <w:t>El impacto de esta concentración sobre el mercado del alquiler residencial no es analizado en ningún capítulo del PET. Sin embargo, la literatura internacional sobre el fenómeno documenta efectos sistemáticos:</w:t>
      </w:r>
    </w:p>
    <w:p w14:paraId="4C8213C3" w14:textId="77777777" w:rsidR="002B0D8D" w:rsidRDefault="00094E99">
      <w:pPr>
        <w:pStyle w:val="Prrafodelista"/>
        <w:numPr>
          <w:ilvl w:val="0"/>
          <w:numId w:val="2"/>
        </w:numPr>
        <w:spacing w:before="60" w:after="60"/>
      </w:pPr>
      <w:proofErr w:type="spellStart"/>
      <w:r>
        <w:rPr>
          <w:color w:val="333333"/>
        </w:rPr>
        <w:t>Horn</w:t>
      </w:r>
      <w:proofErr w:type="spellEnd"/>
      <w:r>
        <w:rPr>
          <w:color w:val="333333"/>
        </w:rPr>
        <w:t xml:space="preserve"> y Merante (2017), en su estudio sobre Boston, demostraron que cada incremento del 1% en los anuncios de Airbnb se asociaba con un aumento de entre 0,018% y 0,023% en los alquileres residenciales, con efectos más intensos en zonas de alta densidad turística.</w:t>
      </w:r>
    </w:p>
    <w:p w14:paraId="353CF722" w14:textId="77777777" w:rsidR="002B0D8D" w:rsidRDefault="00094E99">
      <w:pPr>
        <w:pStyle w:val="Prrafodelista"/>
        <w:numPr>
          <w:ilvl w:val="0"/>
          <w:numId w:val="2"/>
        </w:numPr>
        <w:spacing w:before="60" w:after="60"/>
      </w:pPr>
      <w:r>
        <w:rPr>
          <w:color w:val="333333"/>
        </w:rPr>
        <w:t xml:space="preserve">Barron, Kung y </w:t>
      </w:r>
      <w:proofErr w:type="spellStart"/>
      <w:r>
        <w:rPr>
          <w:color w:val="333333"/>
        </w:rPr>
        <w:t>Proserpio</w:t>
      </w:r>
      <w:proofErr w:type="spellEnd"/>
      <w:r>
        <w:rPr>
          <w:color w:val="333333"/>
        </w:rPr>
        <w:t xml:space="preserve"> (2021), en un análisis a escala nacional para </w:t>
      </w:r>
      <w:proofErr w:type="gramStart"/>
      <w:r>
        <w:rPr>
          <w:color w:val="333333"/>
        </w:rPr>
        <w:t>EE.UU.</w:t>
      </w:r>
      <w:proofErr w:type="gramEnd"/>
      <w:r>
        <w:rPr>
          <w:color w:val="333333"/>
        </w:rPr>
        <w:t>, encontraron que un aumento del 10% en la oferta de alojamiento turístico en plataformas digitales elevaba los alquileres residenciales entre un 0,39% y un 0,67%.</w:t>
      </w:r>
    </w:p>
    <w:p w14:paraId="7EE19E47" w14:textId="77777777" w:rsidR="002B0D8D" w:rsidRDefault="00094E99">
      <w:pPr>
        <w:pStyle w:val="Prrafodelista"/>
        <w:numPr>
          <w:ilvl w:val="0"/>
          <w:numId w:val="2"/>
        </w:numPr>
        <w:spacing w:before="60" w:after="60"/>
      </w:pPr>
      <w:r>
        <w:rPr>
          <w:color w:val="333333"/>
        </w:rPr>
        <w:t>En el contexto español, el Banco de España publicó en 2023 un documento de trabajo (Documentos de Trabajo n.º 2304) que analiza el impacto de las viviendas de uso turístico sobre el precio del alquiler en las principales ciudades, concluyendo que su expansión contribuye al encarecimiento residencial en las zonas de alta concentración.</w:t>
      </w:r>
    </w:p>
    <w:p w14:paraId="3081FC36" w14:textId="77777777" w:rsidR="002B0D8D" w:rsidRDefault="002B0D8D">
      <w:pPr>
        <w:spacing w:before="8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2B0D8D" w14:paraId="21206A2A" w14:textId="77777777">
        <w:tc>
          <w:tcPr>
            <w:tcW w:w="9360" w:type="dxa"/>
            <w:tcBorders>
              <w:top w:val="nil"/>
              <w:left w:val="nil"/>
              <w:bottom w:val="nil"/>
              <w:right w:val="nil"/>
            </w:tcBorders>
            <w:shd w:val="clear" w:color="auto" w:fill="FFE8E8"/>
            <w:tcMar>
              <w:top w:w="160" w:type="dxa"/>
              <w:left w:w="240" w:type="dxa"/>
              <w:bottom w:w="160" w:type="dxa"/>
              <w:right w:w="240" w:type="dxa"/>
            </w:tcMar>
          </w:tcPr>
          <w:p w14:paraId="05B5652F" w14:textId="77777777" w:rsidR="002B0D8D" w:rsidRDefault="00094E99">
            <w:pPr>
              <w:spacing w:after="80"/>
            </w:pPr>
            <w:r>
              <w:rPr>
                <w:b/>
                <w:bCs/>
                <w:color w:val="C0392B"/>
              </w:rPr>
              <w:t>Dato crítico no analizado</w:t>
            </w:r>
          </w:p>
          <w:p w14:paraId="1AF76D14" w14:textId="77777777" w:rsidR="002B0D8D" w:rsidRDefault="00094E99">
            <w:pPr>
              <w:jc w:val="both"/>
            </w:pPr>
            <w:r>
              <w:rPr>
                <w:color w:val="333333"/>
                <w:sz w:val="20"/>
                <w:szCs w:val="20"/>
              </w:rPr>
              <w:t>El PET declara la existencia de 10.632 plazas turísticas en viviendas particulares, pero no analiza el impacto de esa cifra sobre la disponibilidad y el precio de la vivienda en alquiler para los residentes. Este es un vacío analítico de primer orden en un plan que se define a sí mismo como orientado al bienestar ciudadano.</w:t>
            </w:r>
          </w:p>
        </w:tc>
      </w:tr>
    </w:tbl>
    <w:p w14:paraId="73959530" w14:textId="77777777" w:rsidR="002B0D8D" w:rsidRDefault="002B0D8D">
      <w:pPr>
        <w:spacing w:before="100" w:after="100"/>
      </w:pPr>
    </w:p>
    <w:p w14:paraId="4C893AAA" w14:textId="77777777" w:rsidR="002B0D8D" w:rsidRDefault="00094E99">
      <w:pPr>
        <w:pStyle w:val="Ttulo2"/>
      </w:pPr>
      <w:r>
        <w:t>4.2 Presión demográfica y gentrificación turística</w:t>
      </w:r>
    </w:p>
    <w:p w14:paraId="479C58B6" w14:textId="77777777" w:rsidR="002B0D8D" w:rsidRDefault="00094E99">
      <w:pPr>
        <w:spacing w:before="80" w:after="80"/>
        <w:jc w:val="both"/>
      </w:pPr>
      <w:r>
        <w:rPr>
          <w:color w:val="333333"/>
        </w:rPr>
        <w:t>El PET no incorpora ningún análisis de los efectos demográficos del turismo sobre el territorio. En particular, no aborda los fenómenos de gentrificación turística, entendida como el proceso por el que la presión de la demanda turística transforma el tejido comercial, residencial y social de determinados barrios, desplazando a la población residente de menores ingresos.</w:t>
      </w:r>
    </w:p>
    <w:p w14:paraId="5404067F" w14:textId="77777777" w:rsidR="002B0D8D" w:rsidRDefault="00094E99">
      <w:pPr>
        <w:spacing w:before="80" w:after="80"/>
        <w:jc w:val="both"/>
      </w:pPr>
      <w:r>
        <w:rPr>
          <w:color w:val="333333"/>
        </w:rPr>
        <w:t>La encuesta de opinión ciudadana incluida en el propio PET ofrece señales de alerta que el documento no conecta con este fenómeno:</w:t>
      </w:r>
    </w:p>
    <w:p w14:paraId="397A21CF" w14:textId="77777777" w:rsidR="002B0D8D" w:rsidRDefault="00094E99">
      <w:pPr>
        <w:pStyle w:val="Prrafodelista"/>
        <w:numPr>
          <w:ilvl w:val="0"/>
          <w:numId w:val="2"/>
        </w:numPr>
        <w:spacing w:before="60" w:after="60"/>
      </w:pPr>
      <w:r>
        <w:rPr>
          <w:color w:val="333333"/>
        </w:rPr>
        <w:t>Las quejas sobre tráfico, dificultades de aparcamiento y alteración de la vida cotidiana se concentran, según el propio plan, en «barrios concretos y en el entorno rural».</w:t>
      </w:r>
    </w:p>
    <w:p w14:paraId="1D6FDCB7" w14:textId="77777777" w:rsidR="002B0D8D" w:rsidRDefault="00094E99">
      <w:pPr>
        <w:pStyle w:val="Prrafodelista"/>
        <w:numPr>
          <w:ilvl w:val="0"/>
          <w:numId w:val="2"/>
        </w:numPr>
        <w:spacing w:before="60" w:after="60"/>
      </w:pPr>
      <w:r>
        <w:rPr>
          <w:color w:val="333333"/>
        </w:rPr>
        <w:lastRenderedPageBreak/>
        <w:t>Solo el 61,7% de la ciudadanía considera que el turismo mejora las infraestructuras, lo que sugiere una percepción extendida de que los beneficios no llegan equitativamente al conjunto del territorio.</w:t>
      </w:r>
    </w:p>
    <w:p w14:paraId="67731C23" w14:textId="77777777" w:rsidR="002B0D8D" w:rsidRDefault="00094E99">
      <w:pPr>
        <w:pStyle w:val="Prrafodelista"/>
        <w:numPr>
          <w:ilvl w:val="0"/>
          <w:numId w:val="2"/>
        </w:numPr>
        <w:spacing w:before="60" w:after="60"/>
      </w:pPr>
      <w:r>
        <w:rPr>
          <w:color w:val="333333"/>
        </w:rPr>
        <w:t>La relación calidad-precio de los servicios turísticos es el aspecto peor valorado, lo que puede indicar un efecto de encarecimiento general de la oferta comercial percibido por los residentes.</w:t>
      </w:r>
    </w:p>
    <w:p w14:paraId="460B6BBE" w14:textId="77777777" w:rsidR="002B0D8D" w:rsidRDefault="002B0D8D">
      <w:pPr>
        <w:spacing w:before="80" w:after="80"/>
      </w:pPr>
    </w:p>
    <w:p w14:paraId="3F31299F" w14:textId="77777777" w:rsidR="002B0D8D" w:rsidRDefault="00094E99">
      <w:pPr>
        <w:spacing w:before="80" w:after="80"/>
        <w:jc w:val="both"/>
      </w:pPr>
      <w:r>
        <w:rPr>
          <w:color w:val="333333"/>
        </w:rPr>
        <w:t xml:space="preserve">El PET reconoce estas </w:t>
      </w:r>
      <w:proofErr w:type="gramStart"/>
      <w:r>
        <w:rPr>
          <w:color w:val="333333"/>
        </w:rPr>
        <w:t>señales</w:t>
      </w:r>
      <w:proofErr w:type="gramEnd"/>
      <w:r>
        <w:rPr>
          <w:color w:val="333333"/>
        </w:rPr>
        <w:t xml:space="preserve"> pero las trata como problemas de comunicación o de gestión de flujos, sin considerar que pueden ser manifestaciones de un proceso de transformación urbana más profundo que requeriría herramientas de análisis distintas (cartografía de usos comerciales, evolución de los precios del alquiler por barrios, variación de la composición sociodemográfica de los barrios centrales).</w:t>
      </w:r>
    </w:p>
    <w:p w14:paraId="5C168B2E" w14:textId="77777777" w:rsidR="002B0D8D" w:rsidRDefault="00094E99">
      <w:pPr>
        <w:spacing w:before="80" w:after="80"/>
        <w:jc w:val="both"/>
      </w:pPr>
      <w:r>
        <w:rPr>
          <w:color w:val="333333"/>
        </w:rPr>
        <w:t>En este sentido, el plan carece de lo que la literatura especializada denomina un «análisis de capacidad de carga turística» (</w:t>
      </w:r>
      <w:proofErr w:type="spellStart"/>
      <w:r>
        <w:rPr>
          <w:color w:val="333333"/>
        </w:rPr>
        <w:t>Tourism</w:t>
      </w:r>
      <w:proofErr w:type="spellEnd"/>
      <w:r>
        <w:rPr>
          <w:color w:val="333333"/>
        </w:rPr>
        <w:t xml:space="preserve"> </w:t>
      </w:r>
      <w:proofErr w:type="spellStart"/>
      <w:r>
        <w:rPr>
          <w:color w:val="333333"/>
        </w:rPr>
        <w:t>Carrying</w:t>
      </w:r>
      <w:proofErr w:type="spellEnd"/>
      <w:r>
        <w:rPr>
          <w:color w:val="333333"/>
        </w:rPr>
        <w:t xml:space="preserve"> </w:t>
      </w:r>
      <w:proofErr w:type="spellStart"/>
      <w:r>
        <w:rPr>
          <w:color w:val="333333"/>
        </w:rPr>
        <w:t>Capacity</w:t>
      </w:r>
      <w:proofErr w:type="spellEnd"/>
      <w:r>
        <w:rPr>
          <w:color w:val="333333"/>
        </w:rPr>
        <w:t>), herramienta metodológica estándar en la planificación de destinos que incorpora dimensiones físicas, económicas, sociales y psicológicas para determinar los umbrales a partir de los cuales el crecimiento turístico genera efectos negativos netos.</w:t>
      </w:r>
    </w:p>
    <w:p w14:paraId="67E65C6B" w14:textId="77777777" w:rsidR="002B0D8D" w:rsidRDefault="00094E99">
      <w:pPr>
        <w:pStyle w:val="Ttulo2"/>
      </w:pPr>
      <w:r>
        <w:t xml:space="preserve">4.3 El </w:t>
      </w:r>
      <w:proofErr w:type="spellStart"/>
      <w:r>
        <w:t>workation</w:t>
      </w:r>
      <w:proofErr w:type="spellEnd"/>
      <w:r>
        <w:t xml:space="preserve"> y el turismo residencial: una oportunidad no gestionada</w:t>
      </w:r>
    </w:p>
    <w:p w14:paraId="0B74669E" w14:textId="77777777" w:rsidR="002B0D8D" w:rsidRDefault="00094E99">
      <w:pPr>
        <w:spacing w:before="80" w:after="80"/>
        <w:jc w:val="both"/>
      </w:pPr>
      <w:r>
        <w:rPr>
          <w:color w:val="333333"/>
        </w:rPr>
        <w:t xml:space="preserve">El PET identifica el </w:t>
      </w:r>
      <w:proofErr w:type="spellStart"/>
      <w:r>
        <w:rPr>
          <w:color w:val="333333"/>
        </w:rPr>
        <w:t>workation</w:t>
      </w:r>
      <w:proofErr w:type="spellEnd"/>
      <w:r>
        <w:rPr>
          <w:color w:val="333333"/>
        </w:rPr>
        <w:t xml:space="preserve"> (estancias de trabajo remoto que combinan productividad y ocio) como una tendencia global relevante y la incluye entre las oportunidades estratégicas del destino. Sin embargo, esta tendencia tiene implicaciones que el plan no analiza:</w:t>
      </w:r>
    </w:p>
    <w:p w14:paraId="0B91648A" w14:textId="77777777" w:rsidR="002B0D8D" w:rsidRDefault="00094E99">
      <w:pPr>
        <w:pStyle w:val="Prrafodelista"/>
        <w:numPr>
          <w:ilvl w:val="0"/>
          <w:numId w:val="2"/>
        </w:numPr>
        <w:spacing w:before="60" w:after="60"/>
      </w:pPr>
      <w:r>
        <w:rPr>
          <w:color w:val="333333"/>
        </w:rPr>
        <w:t>Un nómada digital que reside en Gijón durante uno a tres meses no es estadísticamente un turista (no aparece en las encuestas de ocupación hotelera si utiliza viviendas turísticas o alquileres de media duración), ni tampoco es un residente (no figura en el padrón municipal). Sus efectos sobre el mercado de vivienda son, sin embargo, similares a los de la demanda turística ordinaria.</w:t>
      </w:r>
    </w:p>
    <w:p w14:paraId="63CAAAE4" w14:textId="77777777" w:rsidR="002B0D8D" w:rsidRDefault="00094E99">
      <w:pPr>
        <w:pStyle w:val="Prrafodelista"/>
        <w:numPr>
          <w:ilvl w:val="0"/>
          <w:numId w:val="2"/>
        </w:numPr>
        <w:spacing w:before="60" w:after="60"/>
      </w:pPr>
      <w:r>
        <w:rPr>
          <w:color w:val="333333"/>
        </w:rPr>
        <w:t xml:space="preserve">La proliferación de plataformas de alquiler de media duración (Airbnb para estancias de más de 28 días, </w:t>
      </w:r>
      <w:proofErr w:type="spellStart"/>
      <w:r>
        <w:rPr>
          <w:color w:val="333333"/>
        </w:rPr>
        <w:t>Spotahome</w:t>
      </w:r>
      <w:proofErr w:type="spellEnd"/>
      <w:r>
        <w:rPr>
          <w:color w:val="333333"/>
        </w:rPr>
        <w:t xml:space="preserve">, </w:t>
      </w:r>
      <w:proofErr w:type="spellStart"/>
      <w:r>
        <w:rPr>
          <w:color w:val="333333"/>
        </w:rPr>
        <w:t>Uniplaces</w:t>
      </w:r>
      <w:proofErr w:type="spellEnd"/>
      <w:r>
        <w:rPr>
          <w:color w:val="333333"/>
        </w:rPr>
        <w:t>) crea una nueva categoría de demanda que compite directamente con el alquiler residencial convencional, sin estar regulada como alojamiento turístico ni como alquiler de larga duración en la legislación vigente.</w:t>
      </w:r>
    </w:p>
    <w:p w14:paraId="710AE5D6" w14:textId="77777777" w:rsidR="002B0D8D" w:rsidRDefault="00094E99">
      <w:pPr>
        <w:pStyle w:val="Prrafodelista"/>
        <w:numPr>
          <w:ilvl w:val="0"/>
          <w:numId w:val="2"/>
        </w:numPr>
        <w:spacing w:before="60" w:after="60"/>
      </w:pPr>
      <w:r>
        <w:rPr>
          <w:color w:val="333333"/>
        </w:rPr>
        <w:t>En ausencia de regulación específica, la estrategia de captación de nómadas digitales puede agravar la presión sobre el mercado de vivienda en los barrios más atractivos del municipio, contradiciendo directamente el objetivo declarado del plan de garantizar el bienestar residencial.</w:t>
      </w:r>
    </w:p>
    <w:p w14:paraId="4A2029FE" w14:textId="77777777" w:rsidR="002B0D8D" w:rsidRDefault="002B0D8D">
      <w:pPr>
        <w:spacing w:before="8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2B0D8D" w14:paraId="14DA1A97" w14:textId="77777777">
        <w:tc>
          <w:tcPr>
            <w:tcW w:w="9360" w:type="dxa"/>
            <w:tcBorders>
              <w:top w:val="nil"/>
              <w:left w:val="nil"/>
              <w:bottom w:val="nil"/>
              <w:right w:val="nil"/>
            </w:tcBorders>
            <w:shd w:val="clear" w:color="auto" w:fill="FFF3CD"/>
            <w:tcMar>
              <w:top w:w="160" w:type="dxa"/>
              <w:left w:w="240" w:type="dxa"/>
              <w:bottom w:w="160" w:type="dxa"/>
              <w:right w:w="240" w:type="dxa"/>
            </w:tcMar>
          </w:tcPr>
          <w:p w14:paraId="4EF7DACD" w14:textId="77777777" w:rsidR="002B0D8D" w:rsidRDefault="00094E99">
            <w:pPr>
              <w:spacing w:after="80"/>
            </w:pPr>
            <w:r>
              <w:rPr>
                <w:b/>
                <w:bCs/>
                <w:color w:val="7D5A00"/>
              </w:rPr>
              <w:t>Paradoja estratégica</w:t>
            </w:r>
          </w:p>
          <w:p w14:paraId="1591C909" w14:textId="77777777" w:rsidR="002B0D8D" w:rsidRDefault="00094E99">
            <w:pPr>
              <w:jc w:val="both"/>
            </w:pPr>
            <w:r>
              <w:rPr>
                <w:color w:val="333333"/>
                <w:sz w:val="20"/>
                <w:szCs w:val="20"/>
              </w:rPr>
              <w:t xml:space="preserve">El plan promueve el </w:t>
            </w:r>
            <w:proofErr w:type="spellStart"/>
            <w:r>
              <w:rPr>
                <w:color w:val="333333"/>
                <w:sz w:val="20"/>
                <w:szCs w:val="20"/>
              </w:rPr>
              <w:t>workation</w:t>
            </w:r>
            <w:proofErr w:type="spellEnd"/>
            <w:r>
              <w:rPr>
                <w:color w:val="333333"/>
                <w:sz w:val="20"/>
                <w:szCs w:val="20"/>
              </w:rPr>
              <w:t xml:space="preserve"> como oportunidad de desestacionalización y alargamiento de estancias, pero no analiza que esta misma estrategia puede generar exactamente el tipo de presión sobre el mercado de vivienda que el plan dice querer evitar. Es una contradicción interna no resuelta.</w:t>
            </w:r>
          </w:p>
        </w:tc>
      </w:tr>
    </w:tbl>
    <w:p w14:paraId="0E3ACECD" w14:textId="77777777" w:rsidR="002B0D8D" w:rsidRDefault="00094E99">
      <w:r>
        <w:br w:type="page"/>
      </w:r>
    </w:p>
    <w:p w14:paraId="011C4DF1" w14:textId="77777777" w:rsidR="002B0D8D" w:rsidRDefault="00094E99">
      <w:pPr>
        <w:pStyle w:val="Ttulo1"/>
        <w:pBdr>
          <w:bottom w:val="single" w:sz="8" w:space="4" w:color="2E5FA3"/>
        </w:pBdr>
      </w:pPr>
      <w:r>
        <w:lastRenderedPageBreak/>
        <w:t>5. PROBLEMAS METODOLÓGICOS DEL BENCHMARKING</w:t>
      </w:r>
    </w:p>
    <w:p w14:paraId="35E6C442" w14:textId="77777777" w:rsidR="002B0D8D" w:rsidRDefault="00094E99">
      <w:pPr>
        <w:spacing w:before="80" w:after="80"/>
        <w:jc w:val="both"/>
      </w:pPr>
      <w:r>
        <w:rPr>
          <w:color w:val="333333"/>
        </w:rPr>
        <w:t>El capítulo de análisis externo del PET incluye una comparativa con destinos nacionales y europeos que presenta deficiencias metodológicas relevantes.</w:t>
      </w:r>
    </w:p>
    <w:p w14:paraId="7103EA2C" w14:textId="77777777" w:rsidR="002B0D8D" w:rsidRDefault="00094E99">
      <w:pPr>
        <w:pStyle w:val="Ttulo2"/>
      </w:pPr>
      <w:r>
        <w:t>5.1 Comparativa nacional: métricas heterogéneas</w:t>
      </w:r>
    </w:p>
    <w:p w14:paraId="3E3B8941" w14:textId="77777777" w:rsidR="002B0D8D" w:rsidRDefault="00094E99">
      <w:pPr>
        <w:spacing w:before="80" w:after="80"/>
        <w:jc w:val="both"/>
      </w:pPr>
      <w:r>
        <w:rPr>
          <w:color w:val="333333"/>
        </w:rPr>
        <w:t>La comparación con Bilbao, San Sebastián, Santander, Vigo y A Coruña utiliza datos de distintas fuentes y períodos temporales sin homogeneizarlos, lo que hace que las conclusiones sean parcialmente inválidas. Por ejemplo, la comparación del ADR (</w:t>
      </w:r>
      <w:proofErr w:type="spellStart"/>
      <w:r>
        <w:rPr>
          <w:color w:val="333333"/>
        </w:rPr>
        <w:t>Average</w:t>
      </w:r>
      <w:proofErr w:type="spellEnd"/>
      <w:r>
        <w:rPr>
          <w:color w:val="333333"/>
        </w:rPr>
        <w:t xml:space="preserve"> Daily Rate) hotelero coloca a Gijón en 72,25€ frente a los 164,54€ de San Sebastián, sin contextualizar que esta diferencia refleja no solo el posicionamiento del destino sino también la estructura de la oferta hotelera (proporción de hoteles de cuatro y cinco estrellas), la estacionalidad, y la composición del mercado emisor.</w:t>
      </w:r>
    </w:p>
    <w:p w14:paraId="0D0D526A" w14:textId="77777777" w:rsidR="002B0D8D" w:rsidRDefault="00094E99">
      <w:pPr>
        <w:spacing w:before="80" w:after="80"/>
        <w:jc w:val="both"/>
      </w:pPr>
      <w:r>
        <w:rPr>
          <w:color w:val="333333"/>
        </w:rPr>
        <w:t>Concluir de esta comparativa que Gijón tiene «gran potencial de crecimiento» sin analizar las causas estructurales de la brecha es metodológicamente insuficiente. La diferencia entre el ADR de Gijón y el de San Sebastián no se corrige con marketing: responde a décadas de inversión en infraestructura hotelera de calidad, posicionamiento gastronómico internacional y conectividad aérea que Gijón no tiene en este momento.</w:t>
      </w:r>
    </w:p>
    <w:p w14:paraId="531F7124" w14:textId="77777777" w:rsidR="002B0D8D" w:rsidRDefault="00094E99">
      <w:pPr>
        <w:pStyle w:val="Ttulo2"/>
      </w:pPr>
      <w:r>
        <w:t>5.2 Comparativa europea: ciudades no comparables</w:t>
      </w:r>
    </w:p>
    <w:p w14:paraId="78445A9A" w14:textId="77777777" w:rsidR="002B0D8D" w:rsidRDefault="00094E99">
      <w:pPr>
        <w:spacing w:before="80" w:after="80"/>
        <w:jc w:val="both"/>
      </w:pPr>
      <w:r>
        <w:rPr>
          <w:color w:val="333333"/>
        </w:rPr>
        <w:t>La selección de ciudades europeas de referencia (Montpellier, Bournemouth, Rímini) presenta problemas de comparabilidad que el documento no aborda:</w:t>
      </w:r>
    </w:p>
    <w:p w14:paraId="7154AEB1" w14:textId="77777777" w:rsidR="002B0D8D" w:rsidRDefault="002B0D8D">
      <w:pPr>
        <w:spacing w:before="60" w:after="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500"/>
        <w:gridCol w:w="3430"/>
        <w:gridCol w:w="3430"/>
      </w:tblGrid>
      <w:tr w:rsidR="002B0D8D" w14:paraId="043B1587" w14:textId="77777777">
        <w:trPr>
          <w:tblHeader/>
        </w:trPr>
        <w:tc>
          <w:tcPr>
            <w:tcW w:w="250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tcPr>
          <w:p w14:paraId="58BEBA1B" w14:textId="77777777" w:rsidR="002B0D8D" w:rsidRDefault="00094E99">
            <w:r>
              <w:rPr>
                <w:b/>
                <w:bCs/>
                <w:color w:val="FFFFFF"/>
                <w:sz w:val="20"/>
                <w:szCs w:val="20"/>
              </w:rPr>
              <w:t>Ciudad</w:t>
            </w:r>
          </w:p>
        </w:tc>
        <w:tc>
          <w:tcPr>
            <w:tcW w:w="343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tcPr>
          <w:p w14:paraId="27F676C0" w14:textId="77777777" w:rsidR="002B0D8D" w:rsidRDefault="00094E99">
            <w:r>
              <w:rPr>
                <w:b/>
                <w:bCs/>
                <w:color w:val="FFFFFF"/>
                <w:sz w:val="20"/>
                <w:szCs w:val="20"/>
              </w:rPr>
              <w:t>Dato citado</w:t>
            </w:r>
          </w:p>
        </w:tc>
        <w:tc>
          <w:tcPr>
            <w:tcW w:w="343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tcPr>
          <w:p w14:paraId="35366E88" w14:textId="77777777" w:rsidR="002B0D8D" w:rsidRDefault="00094E99">
            <w:r>
              <w:rPr>
                <w:b/>
                <w:bCs/>
                <w:color w:val="FFFFFF"/>
                <w:sz w:val="20"/>
                <w:szCs w:val="20"/>
              </w:rPr>
              <w:t>Problema de comparabilidad</w:t>
            </w:r>
          </w:p>
        </w:tc>
      </w:tr>
      <w:tr w:rsidR="002B0D8D" w14:paraId="006095C2" w14:textId="77777777">
        <w:tc>
          <w:tcPr>
            <w:tcW w:w="25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9B57F68" w14:textId="77777777" w:rsidR="002B0D8D" w:rsidRDefault="00094E99">
            <w:r>
              <w:rPr>
                <w:color w:val="333333"/>
                <w:sz w:val="20"/>
                <w:szCs w:val="20"/>
              </w:rPr>
              <w:t>Bournemouth (RU)</w:t>
            </w:r>
          </w:p>
        </w:tc>
        <w:tc>
          <w:tcPr>
            <w:tcW w:w="343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2E5AECA" w14:textId="77777777" w:rsidR="002B0D8D" w:rsidRDefault="00094E99">
            <w:r>
              <w:rPr>
                <w:color w:val="333333"/>
                <w:sz w:val="20"/>
                <w:szCs w:val="20"/>
              </w:rPr>
              <w:t>6,88M de visitantes (84,6% excursionistas)</w:t>
            </w:r>
          </w:p>
        </w:tc>
        <w:tc>
          <w:tcPr>
            <w:tcW w:w="343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06F7ECE" w14:textId="77777777" w:rsidR="002B0D8D" w:rsidRDefault="00094E99">
            <w:r>
              <w:rPr>
                <w:color w:val="333333"/>
                <w:sz w:val="20"/>
                <w:szCs w:val="20"/>
              </w:rPr>
              <w:t>La mayoría son excursionistas de proximidad en un país con movilidad interna muy diferente. No es comparable con un destino de interior-costa como Gijón.</w:t>
            </w:r>
          </w:p>
        </w:tc>
      </w:tr>
      <w:tr w:rsidR="002B0D8D" w14:paraId="2529F203" w14:textId="77777777">
        <w:tc>
          <w:tcPr>
            <w:tcW w:w="25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145DDCC4" w14:textId="77777777" w:rsidR="002B0D8D" w:rsidRDefault="00094E99">
            <w:r>
              <w:rPr>
                <w:color w:val="333333"/>
                <w:sz w:val="20"/>
                <w:szCs w:val="20"/>
              </w:rPr>
              <w:t>Montpellier (FR)</w:t>
            </w:r>
          </w:p>
        </w:tc>
        <w:tc>
          <w:tcPr>
            <w:tcW w:w="343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6FEB01E6" w14:textId="77777777" w:rsidR="002B0D8D" w:rsidRDefault="00094E99">
            <w:r>
              <w:rPr>
                <w:color w:val="333333"/>
                <w:sz w:val="20"/>
                <w:szCs w:val="20"/>
              </w:rPr>
              <w:t>5,44M turistas con conexión TGV a París y Barcelona</w:t>
            </w:r>
          </w:p>
        </w:tc>
        <w:tc>
          <w:tcPr>
            <w:tcW w:w="343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25B4D3B1" w14:textId="77777777" w:rsidR="002B0D8D" w:rsidRDefault="00094E99">
            <w:r>
              <w:rPr>
                <w:color w:val="333333"/>
                <w:sz w:val="20"/>
                <w:szCs w:val="20"/>
              </w:rPr>
              <w:t>La conectividad ferroviaria de alta velocidad de Montpellier es radicalmente distinta a la de Gijón. Comparar volúmenes sin comparar infraestructura es engañoso.</w:t>
            </w:r>
          </w:p>
        </w:tc>
      </w:tr>
      <w:tr w:rsidR="002B0D8D" w14:paraId="69D66108" w14:textId="77777777">
        <w:tc>
          <w:tcPr>
            <w:tcW w:w="25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5362638" w14:textId="77777777" w:rsidR="002B0D8D" w:rsidRDefault="00094E99">
            <w:r>
              <w:rPr>
                <w:color w:val="333333"/>
                <w:sz w:val="20"/>
                <w:szCs w:val="20"/>
              </w:rPr>
              <w:t>Rímini (IT)</w:t>
            </w:r>
          </w:p>
        </w:tc>
        <w:tc>
          <w:tcPr>
            <w:tcW w:w="343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96516FA" w14:textId="77777777" w:rsidR="002B0D8D" w:rsidRDefault="00094E99">
            <w:r>
              <w:rPr>
                <w:color w:val="333333"/>
                <w:sz w:val="20"/>
                <w:szCs w:val="20"/>
              </w:rPr>
              <w:t>325.361 pasajeros en aeropuerto</w:t>
            </w:r>
          </w:p>
        </w:tc>
        <w:tc>
          <w:tcPr>
            <w:tcW w:w="343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62F261F" w14:textId="77777777" w:rsidR="002B0D8D" w:rsidRDefault="00094E99">
            <w:r>
              <w:rPr>
                <w:color w:val="333333"/>
                <w:sz w:val="20"/>
                <w:szCs w:val="20"/>
              </w:rPr>
              <w:t>La cifra es inferior a la del Aeropuerto de Asturias. No queda claro qué aporta esta comparativa al posicionamiento estratégico de Gijón.</w:t>
            </w:r>
          </w:p>
        </w:tc>
      </w:tr>
    </w:tbl>
    <w:p w14:paraId="60554DB7" w14:textId="77777777" w:rsidR="002B0D8D" w:rsidRDefault="002B0D8D">
      <w:pPr>
        <w:spacing w:before="100" w:after="100"/>
      </w:pPr>
    </w:p>
    <w:p w14:paraId="43934F34" w14:textId="77777777" w:rsidR="002B0D8D" w:rsidRDefault="00094E99">
      <w:pPr>
        <w:spacing w:before="80" w:after="80"/>
        <w:jc w:val="both"/>
      </w:pPr>
      <w:r>
        <w:rPr>
          <w:color w:val="333333"/>
        </w:rPr>
        <w:t>Un benchmarking metodológicamente riguroso requeriría seleccionar ciudades con perfiles similares en términos de tamaño poblacional, estructura económica, conectividad y posición en el ciclo de vida del destino turístico (Butler, 1980), y comparar indicadores homogéneos procedentes de fuentes equivalentes.</w:t>
      </w:r>
    </w:p>
    <w:p w14:paraId="0552630C" w14:textId="77777777" w:rsidR="002B0D8D" w:rsidRDefault="00094E99">
      <w:r>
        <w:br w:type="page"/>
      </w:r>
    </w:p>
    <w:p w14:paraId="44AE7F14" w14:textId="77777777" w:rsidR="002B0D8D" w:rsidRDefault="00094E99">
      <w:pPr>
        <w:pStyle w:val="Ttulo1"/>
        <w:pBdr>
          <w:bottom w:val="single" w:sz="8" w:space="4" w:color="2E5FA3"/>
        </w:pBdr>
      </w:pPr>
      <w:r>
        <w:lastRenderedPageBreak/>
        <w:t>6. DEBILIDADES EN EL PROCESO PARTICIPATIVO</w:t>
      </w:r>
    </w:p>
    <w:p w14:paraId="754DF32F" w14:textId="77777777" w:rsidR="002B0D8D" w:rsidRDefault="00094E99">
      <w:pPr>
        <w:spacing w:before="80" w:after="80"/>
        <w:jc w:val="both"/>
      </w:pPr>
      <w:r>
        <w:rPr>
          <w:color w:val="333333"/>
        </w:rPr>
        <w:t>El PET presenta su proceso participativo como una de sus principales fortalezas. La metodología empleada (grupos focales, entrevistas, mesas de validación, encuestas) es formalmente correcta. Sin embargo, un análisis detallado revela limitaciones que reducen la solidez de las conclusiones extraídas.</w:t>
      </w:r>
    </w:p>
    <w:p w14:paraId="4A7758DF" w14:textId="77777777" w:rsidR="002B0D8D" w:rsidRDefault="00094E99">
      <w:pPr>
        <w:pStyle w:val="Ttulo2"/>
      </w:pPr>
      <w:r>
        <w:t>6.1 Sesgos en la composición de los grupos focales</w:t>
      </w:r>
    </w:p>
    <w:p w14:paraId="5F993428" w14:textId="77777777" w:rsidR="002B0D8D" w:rsidRDefault="00094E99">
      <w:pPr>
        <w:spacing w:before="80" w:after="80"/>
        <w:jc w:val="both"/>
      </w:pPr>
      <w:r>
        <w:rPr>
          <w:color w:val="333333"/>
        </w:rPr>
        <w:t>Los once grupos focales realizados tienen una composición predominantemente sectorial y empresarial. Los grupos incluyen a representantes de hoteles, restauración, agencias de viajes, turismo activo, empresas MICE y profesionales del sector, pero no se documenta la participación de colectivos potencialmente perjudicados por el crecimiento turístico: asociaciones de inquilinos, colectivos en riesgo de exclusión residencial, o representantes de barrios con alta concentración de alojamiento turístico.</w:t>
      </w:r>
    </w:p>
    <w:p w14:paraId="1372D7DF" w14:textId="77777777" w:rsidR="002B0D8D" w:rsidRDefault="00094E99">
      <w:pPr>
        <w:spacing w:before="80" w:after="80"/>
        <w:jc w:val="both"/>
      </w:pPr>
      <w:r>
        <w:rPr>
          <w:color w:val="333333"/>
        </w:rPr>
        <w:t>Esta composición sesgada hacia los actores con interés positivo en el crecimiento turístico puede explicar el alto nivel de consenso registrado en el segundo proceso participativo (85% a favor de la desestacionalización, 80% del aprovechamiento de recursos). Ese consenso refleja la opinión del sector turístico, no necesariamente la de la ciudad en su conjunto.</w:t>
      </w:r>
    </w:p>
    <w:p w14:paraId="37D04AB9" w14:textId="77777777" w:rsidR="002B0D8D" w:rsidRDefault="00094E99">
      <w:pPr>
        <w:pStyle w:val="Ttulo2"/>
      </w:pPr>
      <w:r>
        <w:t>6.2 La encuesta ciudadana como herramienta no diseñada para el plan</w:t>
      </w:r>
    </w:p>
    <w:p w14:paraId="4CCF6456" w14:textId="77777777" w:rsidR="002B0D8D" w:rsidRDefault="00094E99">
      <w:pPr>
        <w:spacing w:before="80" w:after="80"/>
        <w:jc w:val="both"/>
      </w:pPr>
      <w:r>
        <w:rPr>
          <w:color w:val="333333"/>
        </w:rPr>
        <w:t>Las encuestas a 4.000 turistas y 600 residentes que el PET cita como evidencia del proceso participativo no fueron diseñadas específicamente para este plan estratégico. Son los informes anuales de Visita Gijón, instrumentos de seguimiento de la actividad turística rutinaria que no incorporan preguntas sobre modelos alternativos de desarrollo, impactos sobre la vivienda, o preferencias sobre el límite deseable de crecimiento turístico. Utilizar estos datos como si fueran el resultado de una consulta ciudadan</w:t>
      </w:r>
      <w:r>
        <w:rPr>
          <w:color w:val="333333"/>
        </w:rPr>
        <w:t>a sobre el modelo turístico es metodológicamente inadecuado.</w:t>
      </w:r>
    </w:p>
    <w:p w14:paraId="4B491BDF" w14:textId="77777777" w:rsidR="002B0D8D" w:rsidRDefault="00094E99">
      <w:pPr>
        <w:pStyle w:val="Ttulo2"/>
      </w:pPr>
      <w:r>
        <w:t>6.3 La Mesa de Turismo como mecanismo de validación circular</w:t>
      </w:r>
    </w:p>
    <w:p w14:paraId="4EBF11AD" w14:textId="77777777" w:rsidR="002B0D8D" w:rsidRDefault="00094E99">
      <w:pPr>
        <w:spacing w:before="80" w:after="80"/>
        <w:jc w:val="both"/>
      </w:pPr>
      <w:r>
        <w:rPr>
          <w:color w:val="333333"/>
        </w:rPr>
        <w:t>El plan establece que el Plan de Acción (capítulo 7) será validado por la Mesa de Turismo. Esta mesa está compuesta por actores del sector turístico, lo que significa que el mecanismo de control del plan es el mismo colectivo que tiene interés directo en su aprobación y ejecución. Un proceso de gobernanza riguroso debería incorporar mecanismos de control externo e independiente.</w:t>
      </w:r>
    </w:p>
    <w:p w14:paraId="1316079F" w14:textId="77777777" w:rsidR="002B0D8D" w:rsidRDefault="00094E99">
      <w:r>
        <w:br w:type="page"/>
      </w:r>
    </w:p>
    <w:p w14:paraId="4F2F1635" w14:textId="77777777" w:rsidR="002B0D8D" w:rsidRDefault="00094E99">
      <w:pPr>
        <w:pStyle w:val="Ttulo1"/>
        <w:pBdr>
          <w:bottom w:val="single" w:sz="8" w:space="4" w:color="2E5FA3"/>
        </w:pBdr>
      </w:pPr>
      <w:r>
        <w:lastRenderedPageBreak/>
        <w:t>7. EL PLAN DE ACCIÓN: UNA ESTRATEGIA SIN OPERACIONALIZAR</w:t>
      </w:r>
    </w:p>
    <w:p w14:paraId="5C73D8FA" w14:textId="77777777" w:rsidR="002B0D8D" w:rsidRDefault="00094E99">
      <w:pPr>
        <w:spacing w:before="80" w:after="80"/>
        <w:jc w:val="both"/>
      </w:pPr>
      <w:r>
        <w:rPr>
          <w:color w:val="333333"/>
        </w:rPr>
        <w:t xml:space="preserve">El capítulo 7, denominado «Plan de Acción Turístico 2025–2035», es el elemento más crítico del PET desde el punto de vista de su </w:t>
      </w:r>
      <w:proofErr w:type="spellStart"/>
      <w:r>
        <w:rPr>
          <w:color w:val="333333"/>
        </w:rPr>
        <w:t>implementabilidad</w:t>
      </w:r>
      <w:proofErr w:type="spellEnd"/>
      <w:r>
        <w:rPr>
          <w:color w:val="333333"/>
        </w:rPr>
        <w:t xml:space="preserve">. En su versión publicada, este capítulo está marcado explícitamente como pendiente de desarrollo (TBA — </w:t>
      </w:r>
      <w:proofErr w:type="spellStart"/>
      <w:r>
        <w:rPr>
          <w:color w:val="333333"/>
        </w:rPr>
        <w:t>To</w:t>
      </w:r>
      <w:proofErr w:type="spellEnd"/>
      <w:r>
        <w:rPr>
          <w:color w:val="333333"/>
        </w:rPr>
        <w:t xml:space="preserve"> Be </w:t>
      </w:r>
      <w:proofErr w:type="spellStart"/>
      <w:r>
        <w:rPr>
          <w:color w:val="333333"/>
        </w:rPr>
        <w:t>Announced</w:t>
      </w:r>
      <w:proofErr w:type="spellEnd"/>
      <w:r>
        <w:rPr>
          <w:color w:val="333333"/>
        </w:rPr>
        <w:t>). Esto significa que el documento sometido a consideración pública carece del elemento más esencial de cualquier plan estratégico: la hoja de ruta operativa.</w:t>
      </w:r>
    </w:p>
    <w:p w14:paraId="6357D3F9" w14:textId="77777777" w:rsidR="002B0D8D" w:rsidRDefault="00094E99">
      <w:pPr>
        <w:spacing w:before="80" w:after="80"/>
        <w:jc w:val="both"/>
      </w:pPr>
      <w:r>
        <w:rPr>
          <w:color w:val="333333"/>
        </w:rPr>
        <w:t>Un plan estratégico sin plan de acción no es un plan estratégico: es una declaración de intenciones. La diferencia es fundamental en términos de rendición de cuentas, asignación presupuestaria y evaluación de resultados.</w:t>
      </w:r>
    </w:p>
    <w:p w14:paraId="3B6BD98A" w14:textId="77777777" w:rsidR="002B0D8D" w:rsidRDefault="002B0D8D">
      <w:pPr>
        <w:spacing w:before="8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2B0D8D" w14:paraId="373A2864" w14:textId="77777777">
        <w:tc>
          <w:tcPr>
            <w:tcW w:w="9360" w:type="dxa"/>
            <w:tcBorders>
              <w:top w:val="nil"/>
              <w:left w:val="nil"/>
              <w:bottom w:val="nil"/>
              <w:right w:val="nil"/>
            </w:tcBorders>
            <w:shd w:val="clear" w:color="auto" w:fill="FFE8E8"/>
            <w:tcMar>
              <w:top w:w="160" w:type="dxa"/>
              <w:left w:w="240" w:type="dxa"/>
              <w:bottom w:w="160" w:type="dxa"/>
              <w:right w:w="240" w:type="dxa"/>
            </w:tcMar>
          </w:tcPr>
          <w:p w14:paraId="3385540E" w14:textId="77777777" w:rsidR="002B0D8D" w:rsidRDefault="00094E99">
            <w:pPr>
              <w:spacing w:after="80"/>
            </w:pPr>
            <w:r>
              <w:rPr>
                <w:b/>
                <w:bCs/>
                <w:color w:val="C0392B"/>
              </w:rPr>
              <w:t>Lo que el Plan de Acción debería contener y no contiene</w:t>
            </w:r>
          </w:p>
          <w:p w14:paraId="1CF67D85" w14:textId="77777777" w:rsidR="002B0D8D" w:rsidRDefault="00094E99">
            <w:pPr>
              <w:jc w:val="both"/>
            </w:pPr>
            <w:r>
              <w:rPr>
                <w:color w:val="333333"/>
                <w:sz w:val="20"/>
                <w:szCs w:val="20"/>
              </w:rPr>
              <w:t xml:space="preserve">Para cada una de las 11 líneas estratégicas: (1) acciones específicas con descripción detallada, (2) indicadores de resultado con valores </w:t>
            </w:r>
            <w:proofErr w:type="gramStart"/>
            <w:r>
              <w:rPr>
                <w:color w:val="333333"/>
                <w:sz w:val="20"/>
                <w:szCs w:val="20"/>
              </w:rPr>
              <w:t>objetivo cuantificados</w:t>
            </w:r>
            <w:proofErr w:type="gramEnd"/>
            <w:r>
              <w:rPr>
                <w:color w:val="333333"/>
                <w:sz w:val="20"/>
                <w:szCs w:val="20"/>
              </w:rPr>
              <w:t>, (3) plazos de ejecución concretos (corto, medio y largo plazo), (4) responsables designados (unidad administrativa o entidad), (5) presupuesto estimado por acción y fuente de financiación (fondos municipales, europeos, cofinanciación privada), y (6) sistema de seguimiento y evaluación con periodicidad definida.</w:t>
            </w:r>
          </w:p>
        </w:tc>
      </w:tr>
    </w:tbl>
    <w:p w14:paraId="4D2C4C55" w14:textId="77777777" w:rsidR="002B0D8D" w:rsidRDefault="002B0D8D">
      <w:pPr>
        <w:spacing w:before="100" w:after="100"/>
      </w:pPr>
    </w:p>
    <w:p w14:paraId="37794813" w14:textId="77777777" w:rsidR="002B0D8D" w:rsidRDefault="00094E99">
      <w:pPr>
        <w:spacing w:before="80" w:after="80"/>
        <w:jc w:val="both"/>
      </w:pPr>
      <w:r>
        <w:rPr>
          <w:color w:val="333333"/>
        </w:rPr>
        <w:t xml:space="preserve">La ausencia de </w:t>
      </w:r>
      <w:proofErr w:type="spellStart"/>
      <w:r>
        <w:rPr>
          <w:color w:val="333333"/>
        </w:rPr>
        <w:t>KPIs</w:t>
      </w:r>
      <w:proofErr w:type="spellEnd"/>
      <w:r>
        <w:rPr>
          <w:color w:val="333333"/>
        </w:rPr>
        <w:t xml:space="preserve"> (Key Performance </w:t>
      </w:r>
      <w:proofErr w:type="spellStart"/>
      <w:r>
        <w:rPr>
          <w:color w:val="333333"/>
        </w:rPr>
        <w:t>Indicators</w:t>
      </w:r>
      <w:proofErr w:type="spellEnd"/>
      <w:r>
        <w:rPr>
          <w:color w:val="333333"/>
        </w:rPr>
        <w:t xml:space="preserve">) con valores </w:t>
      </w:r>
      <w:proofErr w:type="gramStart"/>
      <w:r>
        <w:rPr>
          <w:color w:val="333333"/>
        </w:rPr>
        <w:t>objetivo concretos</w:t>
      </w:r>
      <w:proofErr w:type="gramEnd"/>
      <w:r>
        <w:rPr>
          <w:color w:val="333333"/>
        </w:rPr>
        <w:t xml:space="preserve"> es especialmente grave. El PET menciona objetivos como «incrementar el turismo internacional», «reducir la estacionalidad» o «mejorar el reconocimiento de marca», pero sin especificar cuánto, para cuándo y medido cómo. Sin esta precisión, es imposible evaluar si el plan está siendo exitoso o fracasando, lo que lo convierte en un instrumento no evaluable y, por tanto, no susceptible de mejora continua.</w:t>
      </w:r>
    </w:p>
    <w:p w14:paraId="42CEC9A8" w14:textId="77777777" w:rsidR="002B0D8D" w:rsidRDefault="00094E99">
      <w:pPr>
        <w:pStyle w:val="Ttulo2"/>
      </w:pPr>
      <w:r>
        <w:t>7.1 Ausencia total de dimensionamiento presupuestario</w:t>
      </w:r>
    </w:p>
    <w:p w14:paraId="121B1A2F" w14:textId="77777777" w:rsidR="002B0D8D" w:rsidRDefault="00094E99">
      <w:pPr>
        <w:spacing w:before="80" w:after="80"/>
        <w:jc w:val="both"/>
      </w:pPr>
      <w:r>
        <w:rPr>
          <w:color w:val="333333"/>
        </w:rPr>
        <w:t>El PET no incluye en ninguno de sus capítulos una estimación del coste de implementación de las medidas propuestas. Esto es una omisión estructural que imposibilita valorar la viabilidad real del plan. Las once líneas estratégicas contemplan actuaciones de gran envergadura:</w:t>
      </w:r>
    </w:p>
    <w:p w14:paraId="34C842FC" w14:textId="77777777" w:rsidR="002B0D8D" w:rsidRDefault="00094E99">
      <w:pPr>
        <w:pStyle w:val="Prrafodelista"/>
        <w:numPr>
          <w:ilvl w:val="0"/>
          <w:numId w:val="2"/>
        </w:numPr>
        <w:spacing w:before="60" w:after="60"/>
      </w:pPr>
      <w:r>
        <w:rPr>
          <w:color w:val="333333"/>
        </w:rPr>
        <w:t>Desarrollo e implementación de una Plataforma Inteligente de Destino (PID)</w:t>
      </w:r>
    </w:p>
    <w:p w14:paraId="01BE8316" w14:textId="77777777" w:rsidR="002B0D8D" w:rsidRDefault="00094E99">
      <w:pPr>
        <w:pStyle w:val="Prrafodelista"/>
        <w:numPr>
          <w:ilvl w:val="0"/>
          <w:numId w:val="2"/>
        </w:numPr>
        <w:spacing w:before="60" w:after="60"/>
      </w:pPr>
      <w:r>
        <w:rPr>
          <w:color w:val="333333"/>
        </w:rPr>
        <w:t>Creación de un sistema centralizado de inteligencia turística</w:t>
      </w:r>
    </w:p>
    <w:p w14:paraId="04B785B0" w14:textId="77777777" w:rsidR="002B0D8D" w:rsidRDefault="00094E99">
      <w:pPr>
        <w:pStyle w:val="Prrafodelista"/>
        <w:numPr>
          <w:ilvl w:val="0"/>
          <w:numId w:val="2"/>
        </w:numPr>
        <w:spacing w:before="60" w:after="60"/>
      </w:pPr>
      <w:r>
        <w:rPr>
          <w:color w:val="333333"/>
        </w:rPr>
        <w:t>Lanzamiento de una nueva web turística multilingüe</w:t>
      </w:r>
    </w:p>
    <w:p w14:paraId="0F90683D" w14:textId="77777777" w:rsidR="002B0D8D" w:rsidRDefault="00094E99">
      <w:pPr>
        <w:pStyle w:val="Prrafodelista"/>
        <w:numPr>
          <w:ilvl w:val="0"/>
          <w:numId w:val="2"/>
        </w:numPr>
        <w:spacing w:before="60" w:after="60"/>
      </w:pPr>
      <w:r>
        <w:rPr>
          <w:color w:val="333333"/>
        </w:rPr>
        <w:t>Programas de formación continua para el sector</w:t>
      </w:r>
    </w:p>
    <w:p w14:paraId="31FBB894" w14:textId="77777777" w:rsidR="002B0D8D" w:rsidRDefault="00094E99">
      <w:pPr>
        <w:pStyle w:val="Prrafodelista"/>
        <w:numPr>
          <w:ilvl w:val="0"/>
          <w:numId w:val="2"/>
        </w:numPr>
        <w:spacing w:before="60" w:after="60"/>
      </w:pPr>
      <w:r>
        <w:rPr>
          <w:color w:val="333333"/>
        </w:rPr>
        <w:t>Presencia activa en ferias internacionales (IBTM World, IMEX)</w:t>
      </w:r>
    </w:p>
    <w:p w14:paraId="20E4DAD9" w14:textId="77777777" w:rsidR="002B0D8D" w:rsidRDefault="00094E99">
      <w:pPr>
        <w:pStyle w:val="Prrafodelista"/>
        <w:numPr>
          <w:ilvl w:val="0"/>
          <w:numId w:val="2"/>
        </w:numPr>
        <w:spacing w:before="60" w:after="60"/>
      </w:pPr>
      <w:r>
        <w:rPr>
          <w:color w:val="333333"/>
        </w:rPr>
        <w:t xml:space="preserve">Desarrollo de paquetes de turismo regenerativo y </w:t>
      </w:r>
      <w:proofErr w:type="spellStart"/>
      <w:r>
        <w:rPr>
          <w:color w:val="333333"/>
        </w:rPr>
        <w:t>slow</w:t>
      </w:r>
      <w:proofErr w:type="spellEnd"/>
      <w:r>
        <w:rPr>
          <w:color w:val="333333"/>
        </w:rPr>
        <w:t xml:space="preserve"> </w:t>
      </w:r>
      <w:proofErr w:type="spellStart"/>
      <w:r>
        <w:rPr>
          <w:color w:val="333333"/>
        </w:rPr>
        <w:t>travel</w:t>
      </w:r>
      <w:proofErr w:type="spellEnd"/>
    </w:p>
    <w:p w14:paraId="06AC8732" w14:textId="77777777" w:rsidR="002B0D8D" w:rsidRDefault="002B0D8D">
      <w:pPr>
        <w:spacing w:before="80" w:after="80"/>
      </w:pPr>
    </w:p>
    <w:p w14:paraId="23CB4885" w14:textId="77777777" w:rsidR="002B0D8D" w:rsidRDefault="00094E99">
      <w:pPr>
        <w:spacing w:before="80" w:after="80"/>
        <w:jc w:val="both"/>
      </w:pPr>
      <w:r>
        <w:rPr>
          <w:color w:val="333333"/>
        </w:rPr>
        <w:t>Cada una de estas actuaciones requiere financiación que no está presupuestada. La referencia a «Fondos Europeos» en el apartado de revitalización de espacios públicos es la única mención a una fuente de financiación concreta en todo el documento, y ni siquiera especifica a qué programa o convocatoria se refiere.</w:t>
      </w:r>
    </w:p>
    <w:p w14:paraId="48A9CCC0" w14:textId="77777777" w:rsidR="002B0D8D" w:rsidRDefault="00094E99">
      <w:r>
        <w:br w:type="page"/>
      </w:r>
    </w:p>
    <w:p w14:paraId="3520CD4F" w14:textId="77777777" w:rsidR="002B0D8D" w:rsidRDefault="00094E99">
      <w:pPr>
        <w:pStyle w:val="Ttulo1"/>
        <w:pBdr>
          <w:bottom w:val="single" w:sz="8" w:space="4" w:color="2E5FA3"/>
        </w:pBdr>
      </w:pPr>
      <w:r>
        <w:lastRenderedPageBreak/>
        <w:t>8. INCONSISTENCIAS ENTRE VISIÓN, VALORES E INDICADORES</w:t>
      </w:r>
    </w:p>
    <w:p w14:paraId="467132E7" w14:textId="77777777" w:rsidR="002B0D8D" w:rsidRDefault="00094E99">
      <w:pPr>
        <w:spacing w:before="80" w:after="80"/>
        <w:jc w:val="both"/>
      </w:pPr>
      <w:r>
        <w:rPr>
          <w:color w:val="333333"/>
        </w:rPr>
        <w:t>El PET proclama una visión de turismo sostenible, equilibrado y centrado en el bienestar ciudadano. Sin embargo, el propio documento contiene inconsistencias internas entre esa visión declarada y los objetivos operativos que persigue.</w:t>
      </w:r>
    </w:p>
    <w:p w14:paraId="7FBAB4A3" w14:textId="77777777" w:rsidR="002B0D8D" w:rsidRDefault="00094E99">
      <w:pPr>
        <w:pStyle w:val="Ttulo2"/>
      </w:pPr>
      <w:r>
        <w:t>8.1 Valor sobre volumen, pero sin regulación del volumen</w:t>
      </w:r>
    </w:p>
    <w:p w14:paraId="38B0C08F" w14:textId="77777777" w:rsidR="002B0D8D" w:rsidRDefault="00094E99">
      <w:pPr>
        <w:spacing w:before="80" w:after="80"/>
        <w:jc w:val="both"/>
      </w:pPr>
      <w:r>
        <w:rPr>
          <w:color w:val="333333"/>
        </w:rPr>
        <w:t xml:space="preserve">El plan declara explícitamente que quiere avanzar «desde la gestión de volumen hacia la gestión de valor». Esta es una orientación estratégica correcta y coherente con las tendencias internacionales en gestión de destinos. Sin embargo, ninguna de las once líneas estratégicas contempla medidas de limitación o regulación del volumen turístico. No hay ninguna referencia a mecanismos de regulación de las viviendas de uso turístico, a tasas turísticas (cuyo debate está activo en numerosos municipios españoles), </w:t>
      </w:r>
      <w:r>
        <w:rPr>
          <w:color w:val="333333"/>
        </w:rPr>
        <w:t>o a la gestión de acceso a espacios naturales con alta demanda.</w:t>
      </w:r>
    </w:p>
    <w:p w14:paraId="6FD804CA" w14:textId="77777777" w:rsidR="002B0D8D" w:rsidRDefault="00094E99">
      <w:pPr>
        <w:spacing w:before="80" w:after="80"/>
        <w:jc w:val="both"/>
      </w:pPr>
      <w:r>
        <w:rPr>
          <w:color w:val="333333"/>
        </w:rPr>
        <w:t>Sin instrumentos de regulación del volumen, la estrategia de «valor sobre volumen» se convierte en una aspiración sin mecanismo de implementación: se puede atraer a turistas de mayor gasto, pero si no se limita o redistribuye el flujo total, la presión sobre el territorio continuará creciendo.</w:t>
      </w:r>
    </w:p>
    <w:p w14:paraId="4D3CA73A" w14:textId="77777777" w:rsidR="002B0D8D" w:rsidRDefault="00094E99">
      <w:pPr>
        <w:pStyle w:val="Ttulo2"/>
      </w:pPr>
      <w:r>
        <w:t>8.2 Sostenibilidad declarada versus presión sobre la vivienda no abordada</w:t>
      </w:r>
    </w:p>
    <w:p w14:paraId="2AE84100" w14:textId="77777777" w:rsidR="002B0D8D" w:rsidRDefault="00094E99">
      <w:pPr>
        <w:spacing w:before="80" w:after="80"/>
        <w:jc w:val="both"/>
      </w:pPr>
      <w:r>
        <w:rPr>
          <w:color w:val="333333"/>
        </w:rPr>
        <w:t xml:space="preserve">El PET proclama la sostenibilidad como uno de sus valores centrales y destaca con orgullo la certificación </w:t>
      </w:r>
      <w:proofErr w:type="spellStart"/>
      <w:r>
        <w:rPr>
          <w:color w:val="333333"/>
        </w:rPr>
        <w:t>Biosphere</w:t>
      </w:r>
      <w:proofErr w:type="spellEnd"/>
      <w:r>
        <w:rPr>
          <w:color w:val="333333"/>
        </w:rPr>
        <w:t xml:space="preserve"> Gold </w:t>
      </w:r>
      <w:proofErr w:type="spellStart"/>
      <w:r>
        <w:rPr>
          <w:color w:val="333333"/>
        </w:rPr>
        <w:t>Destination</w:t>
      </w:r>
      <w:proofErr w:type="spellEnd"/>
      <w:r>
        <w:rPr>
          <w:color w:val="333333"/>
        </w:rPr>
        <w:t>. Sin embargo, la sostenibilidad en el turismo tiene tres dimensiones reconocidas internacionalmente: ambiental, económica y social. La dimensión social de la sostenibilidad incluye de forma explícita el acceso a la vivienda para los residentes, la preservación del tejido social de los barrios y la equidad en la distribución de los beneficios y los costes del turismo.</w:t>
      </w:r>
    </w:p>
    <w:p w14:paraId="2B126A2E" w14:textId="77777777" w:rsidR="002B0D8D" w:rsidRDefault="00094E99">
      <w:pPr>
        <w:spacing w:before="80" w:after="80"/>
        <w:jc w:val="both"/>
      </w:pPr>
      <w:r>
        <w:rPr>
          <w:color w:val="333333"/>
        </w:rPr>
        <w:t xml:space="preserve">El PET aborda la dimensión ambiental de la sostenibilidad con cierto detalle (certificaciones </w:t>
      </w:r>
      <w:proofErr w:type="spellStart"/>
      <w:r>
        <w:rPr>
          <w:color w:val="333333"/>
        </w:rPr>
        <w:t>Biosphere</w:t>
      </w:r>
      <w:proofErr w:type="spellEnd"/>
      <w:r>
        <w:rPr>
          <w:color w:val="333333"/>
        </w:rPr>
        <w:t>, movilidad sostenible, reducción de huella ecológica). La dimensión social, sin embargo, está prácticamente ausente del análisis, limitándose a menciones genéricas sobre «bienestar ciudadano» y «equidad territorial» sin ningún indicador específico que las operacionalice.</w:t>
      </w:r>
    </w:p>
    <w:p w14:paraId="7C801DA1" w14:textId="77777777" w:rsidR="002B0D8D" w:rsidRDefault="00094E99">
      <w:pPr>
        <w:pStyle w:val="Ttulo2"/>
      </w:pPr>
      <w:r>
        <w:t>8.3 Internacionalización sin infraestructura para sostenerla</w:t>
      </w:r>
    </w:p>
    <w:p w14:paraId="59FDAF29" w14:textId="77777777" w:rsidR="002B0D8D" w:rsidRDefault="00094E99">
      <w:pPr>
        <w:spacing w:before="80" w:after="80"/>
        <w:jc w:val="both"/>
      </w:pPr>
      <w:r>
        <w:rPr>
          <w:color w:val="333333"/>
        </w:rPr>
        <w:t>Uno de los objetivos más ambiciosos del PET es incrementar la cuota de turismo internacional, que actualmente representa el 16% del total. El plan propone para ello campañas de marketing en mercados europeos, presencia en ferias internacionales y mejora del posicionamiento digital. Sin embargo, el propio diagnóstico del plan identifica la conectividad aérea como uno de los principales factores limitantes del crecimiento internacional.</w:t>
      </w:r>
    </w:p>
    <w:p w14:paraId="74359387" w14:textId="77777777" w:rsidR="002B0D8D" w:rsidRDefault="00094E99">
      <w:pPr>
        <w:spacing w:before="80" w:after="80"/>
        <w:jc w:val="both"/>
      </w:pPr>
      <w:r>
        <w:rPr>
          <w:color w:val="333333"/>
        </w:rPr>
        <w:t>El Aeropuerto de Asturias tiene conexiones directas con un número limitado de ciudades europeas, y la conectividad ferroviaria de alta velocidad (AVE) con Madrid sigue siendo una promesa pendiente de cumplimiento. Estas son limitaciones estructurales que no están en mano del Ayuntamiento de Gijón resolver, y el plan no ofrece ninguna estrategia para compensarlas o para coordinar acciones con el Principado de Asturias o el Gobierno Central que permitan avanzar en su resolución.</w:t>
      </w:r>
    </w:p>
    <w:p w14:paraId="4669A7DD" w14:textId="77777777" w:rsidR="002B0D8D" w:rsidRDefault="00094E99">
      <w:r>
        <w:br w:type="page"/>
      </w:r>
    </w:p>
    <w:p w14:paraId="5E59B302" w14:textId="2D5DD6EE" w:rsidR="002B0D8D" w:rsidRDefault="00094E99">
      <w:pPr>
        <w:pStyle w:val="Ttulo1"/>
        <w:pBdr>
          <w:bottom w:val="single" w:sz="8" w:space="4" w:color="2E5FA3"/>
        </w:pBdr>
      </w:pPr>
      <w:r>
        <w:lastRenderedPageBreak/>
        <w:t xml:space="preserve">9. </w:t>
      </w:r>
      <w:r w:rsidR="00977EE5">
        <w:t>ALTERNATIVAS AL ANÁLISIS</w:t>
      </w:r>
    </w:p>
    <w:p w14:paraId="323538E2" w14:textId="77777777" w:rsidR="002B0D8D" w:rsidRDefault="00094E99">
      <w:pPr>
        <w:spacing w:before="80" w:after="80"/>
        <w:jc w:val="both"/>
      </w:pPr>
      <w:r>
        <w:rPr>
          <w:color w:val="333333"/>
        </w:rPr>
        <w:t>El Plan Estratégico de Turismo de Gijón/</w:t>
      </w:r>
      <w:proofErr w:type="spellStart"/>
      <w:r>
        <w:rPr>
          <w:color w:val="333333"/>
        </w:rPr>
        <w:t>Xixón</w:t>
      </w:r>
      <w:proofErr w:type="spellEnd"/>
      <w:r>
        <w:rPr>
          <w:color w:val="333333"/>
        </w:rPr>
        <w:t xml:space="preserve"> 2025–2035 presenta una estructura formal reconocible, un proceso participativo formalmente válido y una narrativa coherente con las tendencias del turismo contemporáneo. No obstante, el análisis técnico realizado en este informe identifica deficiencias de fondo que comprometen su solidez como instrumento de planificación.</w:t>
      </w:r>
    </w:p>
    <w:p w14:paraId="3ED3F1D2" w14:textId="77777777" w:rsidR="002B0D8D" w:rsidRDefault="002B0D8D">
      <w:pPr>
        <w:spacing w:before="80" w:after="80"/>
      </w:pPr>
    </w:p>
    <w:p w14:paraId="63F0D636" w14:textId="77777777" w:rsidR="002B0D8D" w:rsidRDefault="00094E99">
      <w:pPr>
        <w:pStyle w:val="Ttulo2"/>
      </w:pPr>
      <w:r>
        <w:t>Deficiencias críticas identificadas</w:t>
      </w:r>
    </w:p>
    <w:p w14:paraId="2956B60D" w14:textId="77777777" w:rsidR="002B0D8D" w:rsidRDefault="00094E99">
      <w:pPr>
        <w:pStyle w:val="Prrafodelista"/>
        <w:numPr>
          <w:ilvl w:val="0"/>
          <w:numId w:val="2"/>
        </w:numPr>
        <w:spacing w:before="60" w:after="60"/>
      </w:pPr>
      <w:r>
        <w:rPr>
          <w:color w:val="333333"/>
        </w:rPr>
        <w:t>Confusión conceptual sistemática entre turista, viajero y excursionista, con consecuencias directas sobre la validez de todos los indicadores cuantitativos del plan.</w:t>
      </w:r>
    </w:p>
    <w:p w14:paraId="7E92E1CB" w14:textId="77777777" w:rsidR="002B0D8D" w:rsidRDefault="00094E99">
      <w:pPr>
        <w:pStyle w:val="Prrafodelista"/>
        <w:numPr>
          <w:ilvl w:val="0"/>
          <w:numId w:val="2"/>
        </w:numPr>
        <w:spacing w:before="60" w:after="60"/>
      </w:pPr>
      <w:r>
        <w:rPr>
          <w:color w:val="333333"/>
        </w:rPr>
        <w:t xml:space="preserve">Uso de fuentes circulares y </w:t>
      </w:r>
      <w:proofErr w:type="spellStart"/>
      <w:r>
        <w:rPr>
          <w:color w:val="333333"/>
        </w:rPr>
        <w:t>autovalidadas</w:t>
      </w:r>
      <w:proofErr w:type="spellEnd"/>
      <w:r>
        <w:rPr>
          <w:color w:val="333333"/>
        </w:rPr>
        <w:t xml:space="preserve"> para fundamentar datos de impacto económico con variaciones interanuales estadísticamente inverosímiles y sin contraste con estadísticas oficiales independientes (INE, EPA, MITES).</w:t>
      </w:r>
    </w:p>
    <w:p w14:paraId="63ED171D" w14:textId="77777777" w:rsidR="002B0D8D" w:rsidRDefault="00094E99">
      <w:pPr>
        <w:pStyle w:val="Prrafodelista"/>
        <w:numPr>
          <w:ilvl w:val="0"/>
          <w:numId w:val="2"/>
        </w:numPr>
        <w:spacing w:before="60" w:after="60"/>
      </w:pPr>
      <w:r>
        <w:rPr>
          <w:color w:val="333333"/>
        </w:rPr>
        <w:t>Ausencia total de análisis sobre el impacto del turismo en el mercado de vivienda, a pesar de documentar la existencia de 2.180 viviendas turísticas con 10.632 plazas en el municipio.</w:t>
      </w:r>
    </w:p>
    <w:p w14:paraId="199CA2CE" w14:textId="77777777" w:rsidR="002B0D8D" w:rsidRDefault="00094E99">
      <w:pPr>
        <w:pStyle w:val="Prrafodelista"/>
        <w:numPr>
          <w:ilvl w:val="0"/>
          <w:numId w:val="2"/>
        </w:numPr>
        <w:spacing w:before="60" w:after="60"/>
      </w:pPr>
      <w:r>
        <w:rPr>
          <w:color w:val="333333"/>
        </w:rPr>
        <w:t>Ausencia de análisis de capacidad de carga turística y de indicadores de gentrificación turística, especialmente en los barrios centrales y costeros donde se concentra la oferta de alojamiento.</w:t>
      </w:r>
    </w:p>
    <w:p w14:paraId="291E8890" w14:textId="77777777" w:rsidR="002B0D8D" w:rsidRDefault="00094E99">
      <w:pPr>
        <w:pStyle w:val="Prrafodelista"/>
        <w:numPr>
          <w:ilvl w:val="0"/>
          <w:numId w:val="2"/>
        </w:numPr>
        <w:spacing w:before="60" w:after="60"/>
      </w:pPr>
      <w:r>
        <w:rPr>
          <w:color w:val="333333"/>
        </w:rPr>
        <w:t xml:space="preserve">Contradicción no resuelta entre la promoción del </w:t>
      </w:r>
      <w:proofErr w:type="spellStart"/>
      <w:r>
        <w:rPr>
          <w:color w:val="333333"/>
        </w:rPr>
        <w:t>workation</w:t>
      </w:r>
      <w:proofErr w:type="spellEnd"/>
      <w:r>
        <w:rPr>
          <w:color w:val="333333"/>
        </w:rPr>
        <w:t xml:space="preserve"> como oportunidad estratégica y el objetivo declarado de preservar el acceso a la vivienda para los residentes.</w:t>
      </w:r>
    </w:p>
    <w:p w14:paraId="1369B9FB" w14:textId="77777777" w:rsidR="002B0D8D" w:rsidRDefault="00094E99">
      <w:pPr>
        <w:pStyle w:val="Prrafodelista"/>
        <w:numPr>
          <w:ilvl w:val="0"/>
          <w:numId w:val="2"/>
        </w:numPr>
        <w:spacing w:before="60" w:after="60"/>
      </w:pPr>
      <w:r>
        <w:rPr>
          <w:color w:val="333333"/>
        </w:rPr>
        <w:t>Plan de acción (capítulo 7) inexistente en la versión publicada del documento, sin indicadores cuantificados, sin presupuesto y sin responsables asignados.</w:t>
      </w:r>
    </w:p>
    <w:p w14:paraId="5A109877" w14:textId="77777777" w:rsidR="002B0D8D" w:rsidRDefault="00094E99">
      <w:pPr>
        <w:pStyle w:val="Prrafodelista"/>
        <w:numPr>
          <w:ilvl w:val="0"/>
          <w:numId w:val="2"/>
        </w:numPr>
        <w:spacing w:before="60" w:after="60"/>
      </w:pPr>
      <w:r>
        <w:rPr>
          <w:color w:val="333333"/>
        </w:rPr>
        <w:t>Benchmarking comparativo con ciudades no equiparables y métricas no homogéneas que produce conclusiones de limitado valor estratégico.</w:t>
      </w:r>
    </w:p>
    <w:p w14:paraId="49B5F59B" w14:textId="77777777" w:rsidR="002B0D8D" w:rsidRDefault="00094E99">
      <w:pPr>
        <w:pStyle w:val="Prrafodelista"/>
        <w:numPr>
          <w:ilvl w:val="0"/>
          <w:numId w:val="2"/>
        </w:numPr>
        <w:spacing w:before="60" w:after="60"/>
      </w:pPr>
      <w:r>
        <w:rPr>
          <w:color w:val="333333"/>
        </w:rPr>
        <w:t xml:space="preserve">Proceso participativo con sesgos de composición que </w:t>
      </w:r>
      <w:proofErr w:type="spellStart"/>
      <w:r>
        <w:rPr>
          <w:color w:val="333333"/>
        </w:rPr>
        <w:t>infrarepresenta</w:t>
      </w:r>
      <w:proofErr w:type="spellEnd"/>
      <w:r>
        <w:rPr>
          <w:color w:val="333333"/>
        </w:rPr>
        <w:t xml:space="preserve"> a los actores potencialmente perjudicados por el crecimiento turístico.</w:t>
      </w:r>
    </w:p>
    <w:p w14:paraId="649C161F" w14:textId="77777777" w:rsidR="002B0D8D" w:rsidRDefault="002B0D8D">
      <w:pPr>
        <w:spacing w:before="80" w:after="80"/>
      </w:pPr>
    </w:p>
    <w:p w14:paraId="530982CB" w14:textId="77777777" w:rsidR="002B0D8D" w:rsidRDefault="00094E99">
      <w:pPr>
        <w:pStyle w:val="Ttulo2"/>
      </w:pPr>
      <w:r>
        <w:t>Recomendaciones técnicas</w:t>
      </w:r>
    </w:p>
    <w:p w14:paraId="2EEB964A" w14:textId="77777777" w:rsidR="002B0D8D" w:rsidRDefault="00094E99">
      <w:pPr>
        <w:spacing w:before="80" w:after="80"/>
        <w:jc w:val="both"/>
      </w:pPr>
      <w:r>
        <w:rPr>
          <w:color w:val="333333"/>
        </w:rPr>
        <w:t>Para que el PET pueda considerarse un instrumento técnico válido para la toma de decisiones de política pública, se recomienda:</w:t>
      </w:r>
    </w:p>
    <w:p w14:paraId="1EF167FB" w14:textId="77777777" w:rsidR="002B0D8D" w:rsidRDefault="002B0D8D">
      <w:pPr>
        <w:spacing w:before="60" w:after="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800"/>
        <w:gridCol w:w="6560"/>
      </w:tblGrid>
      <w:tr w:rsidR="002B0D8D" w14:paraId="550BBAF7" w14:textId="77777777">
        <w:trPr>
          <w:tblHeader/>
        </w:trPr>
        <w:tc>
          <w:tcPr>
            <w:tcW w:w="280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tcPr>
          <w:p w14:paraId="2E2ECC85" w14:textId="77777777" w:rsidR="002B0D8D" w:rsidRDefault="00094E99">
            <w:r>
              <w:rPr>
                <w:b/>
                <w:bCs/>
                <w:color w:val="FFFFFF"/>
                <w:sz w:val="20"/>
                <w:szCs w:val="20"/>
              </w:rPr>
              <w:t>Área</w:t>
            </w:r>
          </w:p>
        </w:tc>
        <w:tc>
          <w:tcPr>
            <w:tcW w:w="656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tcPr>
          <w:p w14:paraId="5468D6F8" w14:textId="77777777" w:rsidR="002B0D8D" w:rsidRDefault="00094E99">
            <w:r>
              <w:rPr>
                <w:b/>
                <w:bCs/>
                <w:color w:val="FFFFFF"/>
                <w:sz w:val="20"/>
                <w:szCs w:val="20"/>
              </w:rPr>
              <w:t>Recomendación</w:t>
            </w:r>
          </w:p>
        </w:tc>
      </w:tr>
      <w:tr w:rsidR="002B0D8D" w14:paraId="082E9A6A" w14:textId="77777777">
        <w:tc>
          <w:tcPr>
            <w:tcW w:w="28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E106B86" w14:textId="77777777" w:rsidR="002B0D8D" w:rsidRDefault="00094E99">
            <w:r>
              <w:rPr>
                <w:color w:val="333333"/>
                <w:sz w:val="20"/>
                <w:szCs w:val="20"/>
              </w:rPr>
              <w:t>Datos y fuentes</w:t>
            </w:r>
          </w:p>
        </w:tc>
        <w:tc>
          <w:tcPr>
            <w:tcW w:w="65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6F9CCB3" w14:textId="77777777" w:rsidR="002B0D8D" w:rsidRDefault="00094E99">
            <w:r>
              <w:rPr>
                <w:color w:val="333333"/>
                <w:sz w:val="20"/>
                <w:szCs w:val="20"/>
              </w:rPr>
              <w:t>Contrastar todos los indicadores cuantitativos con fuentes externas del INE, EPA y MITES antes de publicar la versión definitiva del plan.</w:t>
            </w:r>
          </w:p>
        </w:tc>
      </w:tr>
      <w:tr w:rsidR="002B0D8D" w14:paraId="062C5A4D" w14:textId="77777777">
        <w:tc>
          <w:tcPr>
            <w:tcW w:w="28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7EE68E80" w14:textId="77777777" w:rsidR="002B0D8D" w:rsidRDefault="00094E99">
            <w:r>
              <w:rPr>
                <w:color w:val="333333"/>
                <w:sz w:val="20"/>
                <w:szCs w:val="20"/>
              </w:rPr>
              <w:t>Vivienda</w:t>
            </w:r>
          </w:p>
        </w:tc>
        <w:tc>
          <w:tcPr>
            <w:tcW w:w="656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6DF5B4F7" w14:textId="77777777" w:rsidR="002B0D8D" w:rsidRDefault="00094E99">
            <w:r>
              <w:rPr>
                <w:color w:val="333333"/>
                <w:sz w:val="20"/>
                <w:szCs w:val="20"/>
              </w:rPr>
              <w:t>Incorporar un análisis específico del impacto de las viviendas turísticas sobre el mercado del alquiler residencial, utilizando datos del Registro de la Propiedad y el Catastro.</w:t>
            </w:r>
          </w:p>
        </w:tc>
      </w:tr>
      <w:tr w:rsidR="002B0D8D" w14:paraId="1A406042" w14:textId="77777777">
        <w:tc>
          <w:tcPr>
            <w:tcW w:w="28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E90E51B" w14:textId="77777777" w:rsidR="002B0D8D" w:rsidRDefault="00094E99">
            <w:r>
              <w:rPr>
                <w:color w:val="333333"/>
                <w:sz w:val="20"/>
                <w:szCs w:val="20"/>
              </w:rPr>
              <w:t>Capacidad de carga</w:t>
            </w:r>
          </w:p>
        </w:tc>
        <w:tc>
          <w:tcPr>
            <w:tcW w:w="65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7B2324C" w14:textId="77777777" w:rsidR="002B0D8D" w:rsidRDefault="00094E99">
            <w:r>
              <w:rPr>
                <w:color w:val="333333"/>
                <w:sz w:val="20"/>
                <w:szCs w:val="20"/>
              </w:rPr>
              <w:t>Encargar un estudio de capacidad de carga turística por barrios y espacios naturales, con indicadores físicos, sociales y psicológicos.</w:t>
            </w:r>
          </w:p>
        </w:tc>
      </w:tr>
      <w:tr w:rsidR="002B0D8D" w14:paraId="156C0562" w14:textId="77777777">
        <w:tc>
          <w:tcPr>
            <w:tcW w:w="28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32B984DE" w14:textId="77777777" w:rsidR="002B0D8D" w:rsidRDefault="00094E99">
            <w:r>
              <w:rPr>
                <w:color w:val="333333"/>
                <w:sz w:val="20"/>
                <w:szCs w:val="20"/>
              </w:rPr>
              <w:lastRenderedPageBreak/>
              <w:t>Plan de acción</w:t>
            </w:r>
          </w:p>
        </w:tc>
        <w:tc>
          <w:tcPr>
            <w:tcW w:w="656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122AF7AB" w14:textId="77777777" w:rsidR="002B0D8D" w:rsidRDefault="00094E99">
            <w:r>
              <w:rPr>
                <w:color w:val="333333"/>
                <w:sz w:val="20"/>
                <w:szCs w:val="20"/>
              </w:rPr>
              <w:t xml:space="preserve">Desarrollar el capítulo 7 con acciones específicas, </w:t>
            </w:r>
            <w:proofErr w:type="spellStart"/>
            <w:r>
              <w:rPr>
                <w:color w:val="333333"/>
                <w:sz w:val="20"/>
                <w:szCs w:val="20"/>
              </w:rPr>
              <w:t>KPIs</w:t>
            </w:r>
            <w:proofErr w:type="spellEnd"/>
            <w:r>
              <w:rPr>
                <w:color w:val="333333"/>
                <w:sz w:val="20"/>
                <w:szCs w:val="20"/>
              </w:rPr>
              <w:t xml:space="preserve"> cuantificados, plazos, responsables y presupuesto antes de someter el plan a aprobación definitiva.</w:t>
            </w:r>
          </w:p>
        </w:tc>
      </w:tr>
      <w:tr w:rsidR="002B0D8D" w14:paraId="4B2183CC" w14:textId="77777777">
        <w:tc>
          <w:tcPr>
            <w:tcW w:w="28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C174529" w14:textId="77777777" w:rsidR="002B0D8D" w:rsidRDefault="00094E99">
            <w:r>
              <w:rPr>
                <w:color w:val="333333"/>
                <w:sz w:val="20"/>
                <w:szCs w:val="20"/>
              </w:rPr>
              <w:t>Gobernanza</w:t>
            </w:r>
          </w:p>
        </w:tc>
        <w:tc>
          <w:tcPr>
            <w:tcW w:w="65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3C51773" w14:textId="77777777" w:rsidR="002B0D8D" w:rsidRDefault="00094E99">
            <w:r>
              <w:rPr>
                <w:color w:val="333333"/>
                <w:sz w:val="20"/>
                <w:szCs w:val="20"/>
              </w:rPr>
              <w:t>Incorporar mecanismos de control externo e independiente al proceso de seguimiento y evaluación del plan, más allá de la Mesa de Turismo sectorial.</w:t>
            </w:r>
          </w:p>
        </w:tc>
      </w:tr>
      <w:tr w:rsidR="002B0D8D" w14:paraId="745A1297" w14:textId="77777777">
        <w:tc>
          <w:tcPr>
            <w:tcW w:w="28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5FCA0DF6" w14:textId="77777777" w:rsidR="002B0D8D" w:rsidRDefault="00094E99">
            <w:r>
              <w:rPr>
                <w:color w:val="333333"/>
                <w:sz w:val="20"/>
                <w:szCs w:val="20"/>
              </w:rPr>
              <w:t>Regulación</w:t>
            </w:r>
          </w:p>
        </w:tc>
        <w:tc>
          <w:tcPr>
            <w:tcW w:w="656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658682F0" w14:textId="77777777" w:rsidR="002B0D8D" w:rsidRDefault="00094E99">
            <w:r>
              <w:rPr>
                <w:color w:val="333333"/>
                <w:sz w:val="20"/>
                <w:szCs w:val="20"/>
              </w:rPr>
              <w:t>Incluir una línea estratégica específica sobre regulación de la oferta turística (viviendas de uso turístico, gestión de accesos) coherente con el objetivo de «valor sobre volumen».</w:t>
            </w:r>
          </w:p>
        </w:tc>
      </w:tr>
      <w:tr w:rsidR="002B0D8D" w14:paraId="2C706F17" w14:textId="77777777">
        <w:tc>
          <w:tcPr>
            <w:tcW w:w="28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E883027" w14:textId="77777777" w:rsidR="002B0D8D" w:rsidRDefault="00094E99">
            <w:r>
              <w:rPr>
                <w:color w:val="333333"/>
                <w:sz w:val="20"/>
                <w:szCs w:val="20"/>
              </w:rPr>
              <w:t>Conectividad</w:t>
            </w:r>
          </w:p>
        </w:tc>
        <w:tc>
          <w:tcPr>
            <w:tcW w:w="65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9AC2768" w14:textId="77777777" w:rsidR="002B0D8D" w:rsidRDefault="00094E99">
            <w:r>
              <w:rPr>
                <w:color w:val="333333"/>
                <w:sz w:val="20"/>
                <w:szCs w:val="20"/>
              </w:rPr>
              <w:t>Desarrollar una estrategia de coordinación con el Principado de Asturias y el Gobierno Central para abordar las limitaciones estructurales de conectividad aérea y ferroviaria.</w:t>
            </w:r>
          </w:p>
        </w:tc>
      </w:tr>
    </w:tbl>
    <w:p w14:paraId="70628292" w14:textId="77777777" w:rsidR="002B0D8D" w:rsidRDefault="002B0D8D">
      <w:pPr>
        <w:spacing w:before="100" w:after="10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2B0D8D" w14:paraId="36CFBA1F" w14:textId="77777777">
        <w:tc>
          <w:tcPr>
            <w:tcW w:w="9360" w:type="dxa"/>
            <w:tcBorders>
              <w:top w:val="nil"/>
              <w:left w:val="nil"/>
              <w:bottom w:val="nil"/>
              <w:right w:val="nil"/>
            </w:tcBorders>
            <w:shd w:val="clear" w:color="auto" w:fill="D6E4F0"/>
            <w:tcMar>
              <w:top w:w="160" w:type="dxa"/>
              <w:left w:w="240" w:type="dxa"/>
              <w:bottom w:w="160" w:type="dxa"/>
              <w:right w:w="240" w:type="dxa"/>
            </w:tcMar>
          </w:tcPr>
          <w:p w14:paraId="0E38043E" w14:textId="77777777" w:rsidR="002B0D8D" w:rsidRDefault="00094E99">
            <w:pPr>
              <w:spacing w:after="80"/>
            </w:pPr>
            <w:r>
              <w:rPr>
                <w:b/>
                <w:bCs/>
                <w:color w:val="1F3864"/>
              </w:rPr>
              <w:t>Valoración final</w:t>
            </w:r>
          </w:p>
          <w:p w14:paraId="160772E7" w14:textId="77777777" w:rsidR="002B0D8D" w:rsidRDefault="00094E99">
            <w:pPr>
              <w:jc w:val="both"/>
            </w:pPr>
            <w:r>
              <w:rPr>
                <w:color w:val="333333"/>
                <w:sz w:val="20"/>
                <w:szCs w:val="20"/>
              </w:rPr>
              <w:t>El PET de Gijón/</w:t>
            </w:r>
            <w:proofErr w:type="spellStart"/>
            <w:r>
              <w:rPr>
                <w:color w:val="333333"/>
                <w:sz w:val="20"/>
                <w:szCs w:val="20"/>
              </w:rPr>
              <w:t>Xixón</w:t>
            </w:r>
            <w:proofErr w:type="spellEnd"/>
            <w:r>
              <w:rPr>
                <w:color w:val="333333"/>
                <w:sz w:val="20"/>
                <w:szCs w:val="20"/>
              </w:rPr>
              <w:t xml:space="preserve"> 2025–2035 es un documento políticamente bien construido y narrativamente coherente, pero técnicamente incompleto. La ausencia del plan de acción operativo, las lagunas en el análisis de impacto sobre la vivienda y la confusión conceptual en los indicadores básicos lo sitúan más cerca de un manifiesto de intenciones que de un instrumento de planificación estratégica en sentido estricto. Su valor real dependerá de la capacidad de la administración para completar las dimensiones que actualmente están ausentes</w:t>
            </w:r>
            <w:r>
              <w:rPr>
                <w:color w:val="333333"/>
                <w:sz w:val="20"/>
                <w:szCs w:val="20"/>
              </w:rPr>
              <w:t xml:space="preserve"> antes de iniciar su implementación.</w:t>
            </w:r>
          </w:p>
        </w:tc>
      </w:tr>
    </w:tbl>
    <w:p w14:paraId="5A24058F" w14:textId="77777777" w:rsidR="002B0D8D" w:rsidRDefault="00094E99">
      <w:r>
        <w:br w:type="page"/>
      </w:r>
    </w:p>
    <w:p w14:paraId="32F63809" w14:textId="77777777" w:rsidR="002B0D8D" w:rsidRDefault="00094E99">
      <w:pPr>
        <w:pStyle w:val="Ttulo1"/>
        <w:pBdr>
          <w:bottom w:val="single" w:sz="8" w:space="4" w:color="2E5FA3"/>
        </w:pBdr>
      </w:pPr>
      <w:r>
        <w:lastRenderedPageBreak/>
        <w:t>10. REFERENCIAS</w:t>
      </w:r>
    </w:p>
    <w:p w14:paraId="2AD07921" w14:textId="77777777" w:rsidR="002B0D8D" w:rsidRDefault="00094E99">
      <w:pPr>
        <w:pStyle w:val="Ttulo2"/>
      </w:pPr>
      <w:r>
        <w:t>Organismos internacionales y estadísticas oficiales</w:t>
      </w:r>
    </w:p>
    <w:p w14:paraId="1AC3A1E2" w14:textId="77777777" w:rsidR="002B0D8D" w:rsidRDefault="00094E99">
      <w:pPr>
        <w:pStyle w:val="Prrafodelista"/>
        <w:numPr>
          <w:ilvl w:val="0"/>
          <w:numId w:val="2"/>
        </w:numPr>
        <w:spacing w:before="60" w:after="60"/>
      </w:pPr>
      <w:r>
        <w:rPr>
          <w:color w:val="333333"/>
        </w:rPr>
        <w:t>Organización Mundial del Turismo (OMT/UNWTO). (2010). Recomendaciones internacionales para estadísticas de turismo 2008 (RIET 2008). Madrid: OMT.</w:t>
      </w:r>
    </w:p>
    <w:p w14:paraId="5E262C19" w14:textId="77777777" w:rsidR="002B0D8D" w:rsidRDefault="00094E99">
      <w:pPr>
        <w:pStyle w:val="Prrafodelista"/>
        <w:numPr>
          <w:ilvl w:val="0"/>
          <w:numId w:val="2"/>
        </w:numPr>
        <w:spacing w:before="60" w:after="60"/>
      </w:pPr>
      <w:r>
        <w:rPr>
          <w:color w:val="333333"/>
        </w:rPr>
        <w:t>Instituto Nacional de Estadística (INE). Encuesta de Ocupación Hotelera (EOH). Serie anual 2020–2024. Madrid: INE.</w:t>
      </w:r>
    </w:p>
    <w:p w14:paraId="7976A27B" w14:textId="77777777" w:rsidR="002B0D8D" w:rsidRDefault="00094E99">
      <w:pPr>
        <w:pStyle w:val="Prrafodelista"/>
        <w:numPr>
          <w:ilvl w:val="0"/>
          <w:numId w:val="2"/>
        </w:numPr>
        <w:spacing w:before="60" w:after="60"/>
      </w:pPr>
      <w:r>
        <w:rPr>
          <w:color w:val="333333"/>
        </w:rPr>
        <w:t>Instituto Nacional de Estadística (INE). Encuesta de Gasto Turístico (EGATUR). Serie anual 2020–2024. Madrid: INE.</w:t>
      </w:r>
    </w:p>
    <w:p w14:paraId="57443BFF" w14:textId="77777777" w:rsidR="002B0D8D" w:rsidRDefault="00094E99">
      <w:pPr>
        <w:pStyle w:val="Prrafodelista"/>
        <w:numPr>
          <w:ilvl w:val="0"/>
          <w:numId w:val="2"/>
        </w:numPr>
        <w:spacing w:before="60" w:after="60"/>
      </w:pPr>
      <w:r>
        <w:rPr>
          <w:color w:val="333333"/>
        </w:rPr>
        <w:t>Banco de España. (2023). El impacto de las viviendas de uso turístico en los mercados de alquiler residencial. Documentos de Trabajo, n.º 2304. Madrid: Banco de España.</w:t>
      </w:r>
    </w:p>
    <w:p w14:paraId="6FBE9474" w14:textId="77777777" w:rsidR="002B0D8D" w:rsidRDefault="00094E99">
      <w:pPr>
        <w:pStyle w:val="Prrafodelista"/>
        <w:numPr>
          <w:ilvl w:val="0"/>
          <w:numId w:val="2"/>
        </w:numPr>
        <w:spacing w:before="60" w:after="60"/>
      </w:pPr>
      <w:r>
        <w:rPr>
          <w:color w:val="333333"/>
        </w:rPr>
        <w:t xml:space="preserve">Ministerio de Industria, Turismo y Comercio / Turespaña. </w:t>
      </w:r>
      <w:r w:rsidRPr="00977EE5">
        <w:rPr>
          <w:color w:val="333333"/>
          <w:lang w:val="pt-PT"/>
        </w:rPr>
        <w:t xml:space="preserve">(2024). Informe anual de estadísticas de turismo receptor. </w:t>
      </w:r>
      <w:r>
        <w:rPr>
          <w:color w:val="333333"/>
        </w:rPr>
        <w:t>Madrid: MITC.</w:t>
      </w:r>
    </w:p>
    <w:p w14:paraId="7D5218C7" w14:textId="77777777" w:rsidR="002B0D8D" w:rsidRDefault="00094E99">
      <w:pPr>
        <w:pStyle w:val="Ttulo2"/>
      </w:pPr>
      <w:r>
        <w:t>Literatura académica especializada</w:t>
      </w:r>
    </w:p>
    <w:p w14:paraId="518D8733" w14:textId="77777777" w:rsidR="002B0D8D" w:rsidRDefault="00094E99">
      <w:pPr>
        <w:pStyle w:val="Prrafodelista"/>
        <w:numPr>
          <w:ilvl w:val="0"/>
          <w:numId w:val="2"/>
        </w:numPr>
        <w:spacing w:before="60" w:after="60"/>
      </w:pPr>
      <w:r w:rsidRPr="00977EE5">
        <w:rPr>
          <w:color w:val="333333"/>
          <w:lang w:val="en-GB"/>
        </w:rPr>
        <w:t xml:space="preserve">Barron, K., Kung, E., &amp; </w:t>
      </w:r>
      <w:proofErr w:type="spellStart"/>
      <w:r w:rsidRPr="00977EE5">
        <w:rPr>
          <w:color w:val="333333"/>
          <w:lang w:val="en-GB"/>
        </w:rPr>
        <w:t>Proserpio</w:t>
      </w:r>
      <w:proofErr w:type="spellEnd"/>
      <w:r w:rsidRPr="00977EE5">
        <w:rPr>
          <w:color w:val="333333"/>
          <w:lang w:val="en-GB"/>
        </w:rPr>
        <w:t xml:space="preserve">, D. (2021). The Effect of Home-Sharing on House Prices and Rents: Evidence from Airbnb. </w:t>
      </w:r>
      <w:r>
        <w:rPr>
          <w:color w:val="333333"/>
        </w:rPr>
        <w:t xml:space="preserve">Marketing </w:t>
      </w:r>
      <w:proofErr w:type="spellStart"/>
      <w:r>
        <w:rPr>
          <w:color w:val="333333"/>
        </w:rPr>
        <w:t>Science</w:t>
      </w:r>
      <w:proofErr w:type="spellEnd"/>
      <w:r>
        <w:rPr>
          <w:color w:val="333333"/>
        </w:rPr>
        <w:t>, 40(1), 23–47.</w:t>
      </w:r>
    </w:p>
    <w:p w14:paraId="3D888193" w14:textId="77777777" w:rsidR="002B0D8D" w:rsidRDefault="00094E99">
      <w:pPr>
        <w:pStyle w:val="Prrafodelista"/>
        <w:numPr>
          <w:ilvl w:val="0"/>
          <w:numId w:val="2"/>
        </w:numPr>
        <w:spacing w:before="60" w:after="60"/>
      </w:pPr>
      <w:r w:rsidRPr="00977EE5">
        <w:rPr>
          <w:color w:val="333333"/>
          <w:lang w:val="en-GB"/>
        </w:rPr>
        <w:t xml:space="preserve">Butler, R. W. (1980). The Concept of a Tourist Area Cycle of Evolution: Implications for Management of Resources. </w:t>
      </w:r>
      <w:r>
        <w:rPr>
          <w:color w:val="333333"/>
        </w:rPr>
        <w:t xml:space="preserve">The Canadian </w:t>
      </w:r>
      <w:proofErr w:type="spellStart"/>
      <w:r>
        <w:rPr>
          <w:color w:val="333333"/>
        </w:rPr>
        <w:t>Geographer</w:t>
      </w:r>
      <w:proofErr w:type="spellEnd"/>
      <w:r>
        <w:rPr>
          <w:color w:val="333333"/>
        </w:rPr>
        <w:t>, 24(1), 5–12.</w:t>
      </w:r>
    </w:p>
    <w:p w14:paraId="38DFBA45" w14:textId="77777777" w:rsidR="002B0D8D" w:rsidRDefault="00094E99">
      <w:pPr>
        <w:pStyle w:val="Prrafodelista"/>
        <w:numPr>
          <w:ilvl w:val="0"/>
          <w:numId w:val="2"/>
        </w:numPr>
        <w:spacing w:before="60" w:after="60"/>
      </w:pPr>
      <w:proofErr w:type="spellStart"/>
      <w:r w:rsidRPr="00977EE5">
        <w:rPr>
          <w:color w:val="333333"/>
          <w:lang w:val="en-GB"/>
        </w:rPr>
        <w:t>Filieri</w:t>
      </w:r>
      <w:proofErr w:type="spellEnd"/>
      <w:r w:rsidRPr="00977EE5">
        <w:rPr>
          <w:color w:val="333333"/>
          <w:lang w:val="en-GB"/>
        </w:rPr>
        <w:t xml:space="preserve">, R., </w:t>
      </w:r>
      <w:proofErr w:type="spellStart"/>
      <w:r w:rsidRPr="00977EE5">
        <w:rPr>
          <w:color w:val="333333"/>
          <w:lang w:val="en-GB"/>
        </w:rPr>
        <w:t>Alguezaui</w:t>
      </w:r>
      <w:proofErr w:type="spellEnd"/>
      <w:r w:rsidRPr="00977EE5">
        <w:rPr>
          <w:color w:val="333333"/>
          <w:lang w:val="en-GB"/>
        </w:rPr>
        <w:t xml:space="preserve">, S., &amp; McLeay, F. (2019). Why do </w:t>
      </w:r>
      <w:proofErr w:type="spellStart"/>
      <w:r w:rsidRPr="00977EE5">
        <w:rPr>
          <w:color w:val="333333"/>
          <w:lang w:val="en-GB"/>
        </w:rPr>
        <w:t>travelers</w:t>
      </w:r>
      <w:proofErr w:type="spellEnd"/>
      <w:r w:rsidRPr="00977EE5">
        <w:rPr>
          <w:color w:val="333333"/>
          <w:lang w:val="en-GB"/>
        </w:rPr>
        <w:t xml:space="preserve"> trust TripAdvisor? Antecedents of trust towards consumer-generated media and its influence on recommendation adoption and word of mouth. </w:t>
      </w:r>
      <w:proofErr w:type="spellStart"/>
      <w:r>
        <w:rPr>
          <w:color w:val="333333"/>
        </w:rPr>
        <w:t>Tourism</w:t>
      </w:r>
      <w:proofErr w:type="spellEnd"/>
      <w:r>
        <w:rPr>
          <w:color w:val="333333"/>
        </w:rPr>
        <w:t xml:space="preserve"> Management, 51, 174–185.</w:t>
      </w:r>
    </w:p>
    <w:p w14:paraId="79F9C90C" w14:textId="77777777" w:rsidR="002B0D8D" w:rsidRDefault="00094E99">
      <w:pPr>
        <w:pStyle w:val="Prrafodelista"/>
        <w:numPr>
          <w:ilvl w:val="0"/>
          <w:numId w:val="2"/>
        </w:numPr>
        <w:spacing w:before="60" w:after="60"/>
      </w:pPr>
      <w:r w:rsidRPr="00977EE5">
        <w:rPr>
          <w:color w:val="333333"/>
          <w:lang w:val="en-GB"/>
        </w:rPr>
        <w:t xml:space="preserve">Horn, K., &amp; Merante, M. (2017). Is Home Sharing Driving Up Rents? </w:t>
      </w:r>
      <w:proofErr w:type="spellStart"/>
      <w:r>
        <w:rPr>
          <w:color w:val="333333"/>
        </w:rPr>
        <w:t>Evidence</w:t>
      </w:r>
      <w:proofErr w:type="spellEnd"/>
      <w:r>
        <w:rPr>
          <w:color w:val="333333"/>
        </w:rPr>
        <w:t xml:space="preserve"> </w:t>
      </w:r>
      <w:proofErr w:type="spellStart"/>
      <w:r>
        <w:rPr>
          <w:color w:val="333333"/>
        </w:rPr>
        <w:t>from</w:t>
      </w:r>
      <w:proofErr w:type="spellEnd"/>
      <w:r>
        <w:rPr>
          <w:color w:val="333333"/>
        </w:rPr>
        <w:t xml:space="preserve"> Airbnb in Boston. </w:t>
      </w:r>
      <w:proofErr w:type="spellStart"/>
      <w:r>
        <w:rPr>
          <w:color w:val="333333"/>
        </w:rPr>
        <w:t>Journal</w:t>
      </w:r>
      <w:proofErr w:type="spellEnd"/>
      <w:r>
        <w:rPr>
          <w:color w:val="333333"/>
        </w:rPr>
        <w:t xml:space="preserve"> of </w:t>
      </w:r>
      <w:proofErr w:type="spellStart"/>
      <w:r>
        <w:rPr>
          <w:color w:val="333333"/>
        </w:rPr>
        <w:t>Housing</w:t>
      </w:r>
      <w:proofErr w:type="spellEnd"/>
      <w:r>
        <w:rPr>
          <w:color w:val="333333"/>
        </w:rPr>
        <w:t xml:space="preserve"> </w:t>
      </w:r>
      <w:proofErr w:type="spellStart"/>
      <w:r>
        <w:rPr>
          <w:color w:val="333333"/>
        </w:rPr>
        <w:t>Economics</w:t>
      </w:r>
      <w:proofErr w:type="spellEnd"/>
      <w:r>
        <w:rPr>
          <w:color w:val="333333"/>
        </w:rPr>
        <w:t>, 38, 14–24.</w:t>
      </w:r>
    </w:p>
    <w:p w14:paraId="7EA2C558" w14:textId="77777777" w:rsidR="002B0D8D" w:rsidRDefault="00094E99">
      <w:pPr>
        <w:pStyle w:val="Prrafodelista"/>
        <w:numPr>
          <w:ilvl w:val="0"/>
          <w:numId w:val="2"/>
        </w:numPr>
        <w:spacing w:before="60" w:after="60"/>
      </w:pPr>
      <w:r w:rsidRPr="00977EE5">
        <w:rPr>
          <w:color w:val="333333"/>
          <w:lang w:val="en-GB"/>
        </w:rPr>
        <w:t xml:space="preserve">Koens, K., Dessing, N., &amp; Postma, A. (2018). Managing overtourism through city tourism governance. </w:t>
      </w:r>
      <w:proofErr w:type="spellStart"/>
      <w:r>
        <w:rPr>
          <w:color w:val="333333"/>
        </w:rPr>
        <w:t>An</w:t>
      </w:r>
      <w:proofErr w:type="spellEnd"/>
      <w:r>
        <w:rPr>
          <w:color w:val="333333"/>
        </w:rPr>
        <w:t xml:space="preserve"> </w:t>
      </w:r>
      <w:proofErr w:type="spellStart"/>
      <w:r>
        <w:rPr>
          <w:color w:val="333333"/>
        </w:rPr>
        <w:t>analysis</w:t>
      </w:r>
      <w:proofErr w:type="spellEnd"/>
      <w:r>
        <w:rPr>
          <w:color w:val="333333"/>
        </w:rPr>
        <w:t xml:space="preserve"> </w:t>
      </w:r>
      <w:proofErr w:type="spellStart"/>
      <w:r>
        <w:rPr>
          <w:color w:val="333333"/>
        </w:rPr>
        <w:t>of</w:t>
      </w:r>
      <w:proofErr w:type="spellEnd"/>
      <w:r>
        <w:rPr>
          <w:color w:val="333333"/>
        </w:rPr>
        <w:t xml:space="preserve"> </w:t>
      </w:r>
      <w:proofErr w:type="spellStart"/>
      <w:r>
        <w:rPr>
          <w:color w:val="333333"/>
        </w:rPr>
        <w:t>policy</w:t>
      </w:r>
      <w:proofErr w:type="spellEnd"/>
      <w:r>
        <w:rPr>
          <w:color w:val="333333"/>
        </w:rPr>
        <w:t xml:space="preserve"> responses in Amsterdam. </w:t>
      </w:r>
      <w:proofErr w:type="spellStart"/>
      <w:r>
        <w:rPr>
          <w:color w:val="333333"/>
        </w:rPr>
        <w:t>Sustainability</w:t>
      </w:r>
      <w:proofErr w:type="spellEnd"/>
      <w:r>
        <w:rPr>
          <w:color w:val="333333"/>
        </w:rPr>
        <w:t>, 10(12), 4585.</w:t>
      </w:r>
    </w:p>
    <w:p w14:paraId="4579C811" w14:textId="77777777" w:rsidR="002B0D8D" w:rsidRDefault="00094E99">
      <w:pPr>
        <w:pStyle w:val="Prrafodelista"/>
        <w:numPr>
          <w:ilvl w:val="0"/>
          <w:numId w:val="2"/>
        </w:numPr>
        <w:spacing w:before="60" w:after="60"/>
      </w:pPr>
      <w:r w:rsidRPr="00977EE5">
        <w:rPr>
          <w:color w:val="333333"/>
          <w:lang w:val="pt-PT"/>
        </w:rPr>
        <w:t xml:space="preserve">Milano, C., Novelli, M., &amp; Cheer, J. M. (2019). </w:t>
      </w:r>
      <w:r w:rsidRPr="00977EE5">
        <w:rPr>
          <w:color w:val="333333"/>
          <w:lang w:val="en-GB"/>
        </w:rPr>
        <w:t xml:space="preserve">Overtourism and </w:t>
      </w:r>
      <w:proofErr w:type="spellStart"/>
      <w:r w:rsidRPr="00977EE5">
        <w:rPr>
          <w:color w:val="333333"/>
          <w:lang w:val="en-GB"/>
        </w:rPr>
        <w:t>Tourismphobia</w:t>
      </w:r>
      <w:proofErr w:type="spellEnd"/>
      <w:r w:rsidRPr="00977EE5">
        <w:rPr>
          <w:color w:val="333333"/>
          <w:lang w:val="en-GB"/>
        </w:rPr>
        <w:t xml:space="preserve">: A Journey through four decades of tourism development, planning and local concerns. </w:t>
      </w:r>
      <w:proofErr w:type="spellStart"/>
      <w:r>
        <w:rPr>
          <w:color w:val="333333"/>
        </w:rPr>
        <w:t>Tourism</w:t>
      </w:r>
      <w:proofErr w:type="spellEnd"/>
      <w:r>
        <w:rPr>
          <w:color w:val="333333"/>
        </w:rPr>
        <w:t xml:space="preserve"> </w:t>
      </w:r>
      <w:proofErr w:type="spellStart"/>
      <w:r>
        <w:rPr>
          <w:color w:val="333333"/>
        </w:rPr>
        <w:t>Planning</w:t>
      </w:r>
      <w:proofErr w:type="spellEnd"/>
      <w:r>
        <w:rPr>
          <w:color w:val="333333"/>
        </w:rPr>
        <w:t xml:space="preserve"> &amp; </w:t>
      </w:r>
      <w:proofErr w:type="spellStart"/>
      <w:r>
        <w:rPr>
          <w:color w:val="333333"/>
        </w:rPr>
        <w:t>Development</w:t>
      </w:r>
      <w:proofErr w:type="spellEnd"/>
      <w:r>
        <w:rPr>
          <w:color w:val="333333"/>
        </w:rPr>
        <w:t>, 16(4), 353–357.</w:t>
      </w:r>
    </w:p>
    <w:p w14:paraId="6BFCFAD5" w14:textId="77777777" w:rsidR="002B0D8D" w:rsidRPr="00977EE5" w:rsidRDefault="00094E99">
      <w:pPr>
        <w:pStyle w:val="Prrafodelista"/>
        <w:numPr>
          <w:ilvl w:val="0"/>
          <w:numId w:val="2"/>
        </w:numPr>
        <w:spacing w:before="60" w:after="60"/>
        <w:rPr>
          <w:lang w:val="en-GB"/>
        </w:rPr>
      </w:pPr>
      <w:r w:rsidRPr="00977EE5">
        <w:rPr>
          <w:color w:val="333333"/>
          <w:lang w:val="en-GB"/>
        </w:rPr>
        <w:t xml:space="preserve">Peeters, P., </w:t>
      </w:r>
      <w:proofErr w:type="spellStart"/>
      <w:r w:rsidRPr="00977EE5">
        <w:rPr>
          <w:color w:val="333333"/>
          <w:lang w:val="en-GB"/>
        </w:rPr>
        <w:t>Gössling</w:t>
      </w:r>
      <w:proofErr w:type="spellEnd"/>
      <w:r w:rsidRPr="00977EE5">
        <w:rPr>
          <w:color w:val="333333"/>
          <w:lang w:val="en-GB"/>
        </w:rPr>
        <w:t xml:space="preserve">, S., Klijs, J., Milano, C., Novelli, M., </w:t>
      </w:r>
      <w:proofErr w:type="spellStart"/>
      <w:r w:rsidRPr="00977EE5">
        <w:rPr>
          <w:color w:val="333333"/>
          <w:lang w:val="en-GB"/>
        </w:rPr>
        <w:t>Dijkmans</w:t>
      </w:r>
      <w:proofErr w:type="spellEnd"/>
      <w:r w:rsidRPr="00977EE5">
        <w:rPr>
          <w:color w:val="333333"/>
          <w:lang w:val="en-GB"/>
        </w:rPr>
        <w:t xml:space="preserve">, C., ... </w:t>
      </w:r>
      <w:r w:rsidRPr="00300BA0">
        <w:rPr>
          <w:color w:val="333333"/>
          <w:lang w:val="en-GB"/>
        </w:rPr>
        <w:t xml:space="preserve">&amp; Postma, A. (2018). </w:t>
      </w:r>
      <w:r w:rsidRPr="00977EE5">
        <w:rPr>
          <w:color w:val="333333"/>
          <w:lang w:val="en-GB"/>
        </w:rPr>
        <w:t>Research for TRAN Committee – Overtourism: impact and possible policy responses. European Parliament, Policy Department for Structural and Cohesion Policies. Brussels.</w:t>
      </w:r>
    </w:p>
    <w:p w14:paraId="632FA23B" w14:textId="77777777" w:rsidR="002B0D8D" w:rsidRDefault="00094E99">
      <w:pPr>
        <w:pStyle w:val="Prrafodelista"/>
        <w:numPr>
          <w:ilvl w:val="0"/>
          <w:numId w:val="2"/>
        </w:numPr>
        <w:spacing w:before="60" w:after="60"/>
      </w:pPr>
      <w:r w:rsidRPr="00977EE5">
        <w:rPr>
          <w:color w:val="333333"/>
          <w:lang w:val="pt-PT"/>
        </w:rPr>
        <w:t xml:space="preserve">Xiang, Z., Du, Q., Ma, Y., &amp; Fan, W. (2017). </w:t>
      </w:r>
      <w:r w:rsidRPr="00977EE5">
        <w:rPr>
          <w:color w:val="333333"/>
          <w:lang w:val="en-GB"/>
        </w:rPr>
        <w:t xml:space="preserve">A comparative analysis of major online review platforms: Implications for social media analytics in hospitality and tourism. </w:t>
      </w:r>
      <w:proofErr w:type="spellStart"/>
      <w:r>
        <w:rPr>
          <w:color w:val="333333"/>
        </w:rPr>
        <w:t>Tourism</w:t>
      </w:r>
      <w:proofErr w:type="spellEnd"/>
      <w:r>
        <w:rPr>
          <w:color w:val="333333"/>
        </w:rPr>
        <w:t xml:space="preserve"> Management, 58, 51–65.</w:t>
      </w:r>
    </w:p>
    <w:p w14:paraId="356F9E28" w14:textId="77777777" w:rsidR="002B0D8D" w:rsidRDefault="00094E99">
      <w:pPr>
        <w:pStyle w:val="Ttulo2"/>
      </w:pPr>
      <w:r>
        <w:t>Documentos del Plan analizado</w:t>
      </w:r>
    </w:p>
    <w:p w14:paraId="16132D84" w14:textId="77777777" w:rsidR="002B0D8D" w:rsidRDefault="00094E99">
      <w:pPr>
        <w:pStyle w:val="Prrafodelista"/>
        <w:numPr>
          <w:ilvl w:val="0"/>
          <w:numId w:val="2"/>
        </w:numPr>
        <w:spacing w:before="60" w:after="60"/>
      </w:pPr>
      <w:r>
        <w:rPr>
          <w:color w:val="333333"/>
        </w:rPr>
        <w:t>Ayuntamiento de Gijón/</w:t>
      </w:r>
      <w:proofErr w:type="spellStart"/>
      <w:r>
        <w:rPr>
          <w:color w:val="333333"/>
        </w:rPr>
        <w:t>Xixón</w:t>
      </w:r>
      <w:proofErr w:type="spellEnd"/>
      <w:r>
        <w:rPr>
          <w:color w:val="333333"/>
        </w:rPr>
        <w:t xml:space="preserve"> / Visita Gijón. (2025). Plan Estratégico de Turismo Gijón/</w:t>
      </w:r>
      <w:proofErr w:type="spellStart"/>
      <w:r>
        <w:rPr>
          <w:color w:val="333333"/>
        </w:rPr>
        <w:t>Xixón</w:t>
      </w:r>
      <w:proofErr w:type="spellEnd"/>
      <w:r>
        <w:rPr>
          <w:color w:val="333333"/>
        </w:rPr>
        <w:t xml:space="preserve"> 2025–2035. Capítulos 1–7. Publicado en: https://pet-gijon-5vi3jej.gamma.site/</w:t>
      </w:r>
    </w:p>
    <w:p w14:paraId="78C5D147" w14:textId="77777777" w:rsidR="002B0D8D" w:rsidRDefault="00094E99">
      <w:pPr>
        <w:pStyle w:val="Prrafodelista"/>
        <w:numPr>
          <w:ilvl w:val="0"/>
          <w:numId w:val="2"/>
        </w:numPr>
        <w:spacing w:before="60" w:after="60"/>
      </w:pPr>
      <w:r>
        <w:rPr>
          <w:color w:val="333333"/>
        </w:rPr>
        <w:t>Visita Gijón (2024). Informe del turismo en Gijón/</w:t>
      </w:r>
      <w:proofErr w:type="spellStart"/>
      <w:r>
        <w:rPr>
          <w:color w:val="333333"/>
        </w:rPr>
        <w:t>Xixón</w:t>
      </w:r>
      <w:proofErr w:type="spellEnd"/>
      <w:r>
        <w:rPr>
          <w:color w:val="333333"/>
        </w:rPr>
        <w:t xml:space="preserve"> 2024. Gijón: Visita Gijón.</w:t>
      </w:r>
    </w:p>
    <w:p w14:paraId="57FA9710" w14:textId="77777777" w:rsidR="002B0D8D" w:rsidRDefault="00094E99">
      <w:pPr>
        <w:pStyle w:val="Prrafodelista"/>
        <w:numPr>
          <w:ilvl w:val="0"/>
          <w:numId w:val="2"/>
        </w:numPr>
        <w:spacing w:before="60" w:after="60"/>
      </w:pPr>
      <w:proofErr w:type="spellStart"/>
      <w:r>
        <w:rPr>
          <w:color w:val="333333"/>
        </w:rPr>
        <w:t>InvesMark</w:t>
      </w:r>
      <w:proofErr w:type="spellEnd"/>
      <w:r>
        <w:rPr>
          <w:color w:val="333333"/>
        </w:rPr>
        <w:t xml:space="preserve"> (2024). Encuesta de Opinión Ciudadana sobre la Actividad Turística en Gijón/</w:t>
      </w:r>
      <w:proofErr w:type="spellStart"/>
      <w:r>
        <w:rPr>
          <w:color w:val="333333"/>
        </w:rPr>
        <w:t>Xixón</w:t>
      </w:r>
      <w:proofErr w:type="spellEnd"/>
      <w:r>
        <w:rPr>
          <w:color w:val="333333"/>
        </w:rPr>
        <w:t xml:space="preserve"> (diciembre 2024). Encargada por Visita Gijón.</w:t>
      </w:r>
    </w:p>
    <w:p w14:paraId="43822DD5" w14:textId="77777777" w:rsidR="002B0D8D" w:rsidRDefault="00094E99">
      <w:pPr>
        <w:pStyle w:val="Prrafodelista"/>
        <w:numPr>
          <w:ilvl w:val="0"/>
          <w:numId w:val="2"/>
        </w:numPr>
        <w:spacing w:before="60" w:after="60"/>
      </w:pPr>
      <w:r>
        <w:rPr>
          <w:color w:val="333333"/>
        </w:rPr>
        <w:t>Registro de Empresas Turísticas del Principado de Asturias (enero 2026). Oviedo: Gobierno del Principado de Asturias.</w:t>
      </w:r>
    </w:p>
    <w:p w14:paraId="7425293B" w14:textId="77777777" w:rsidR="002B0D8D" w:rsidRDefault="002B0D8D">
      <w:pPr>
        <w:spacing w:before="200" w:after="200"/>
      </w:pPr>
    </w:p>
    <w:p w14:paraId="50ABA901" w14:textId="77777777" w:rsidR="002B0D8D" w:rsidRDefault="00094E99">
      <w:pPr>
        <w:spacing w:before="200"/>
        <w:jc w:val="center"/>
        <w:rPr>
          <w:i/>
          <w:iCs/>
          <w:color w:val="888888"/>
          <w:sz w:val="20"/>
          <w:szCs w:val="20"/>
        </w:rPr>
      </w:pPr>
      <w:r>
        <w:rPr>
          <w:i/>
          <w:iCs/>
          <w:color w:val="888888"/>
          <w:sz w:val="20"/>
          <w:szCs w:val="20"/>
        </w:rPr>
        <w:t>— Fin del informe —</w:t>
      </w:r>
    </w:p>
    <w:p w14:paraId="39F94F53" w14:textId="38B4F4AC" w:rsidR="00977EE5" w:rsidRDefault="00977EE5">
      <w:pPr>
        <w:spacing w:before="200"/>
        <w:jc w:val="center"/>
      </w:pPr>
      <w:r>
        <w:rPr>
          <w:noProof/>
        </w:rPr>
        <w:drawing>
          <wp:inline distT="0" distB="0" distL="0" distR="0" wp14:anchorId="111B33FE" wp14:editId="50B890F3">
            <wp:extent cx="2588260" cy="2588260"/>
            <wp:effectExtent l="0" t="0" r="0" b="0"/>
            <wp:docPr id="873188173" name="Imagen 1" descr="Logotip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3188173" name="Imagen 1" descr="Logotipo&#10;&#10;El contenido generado por IA puede ser incorrecto."/>
                    <pic:cNvPicPr/>
                  </pic:nvPicPr>
                  <pic:blipFill>
                    <a:blip r:embed="rId8" cstate="print">
                      <a:extLst>
                        <a:ext uri="{28A0092B-C50C-407E-A947-70E740481C1C}">
                          <a14:useLocalDpi xmlns:a14="http://schemas.microsoft.com/office/drawing/2010/main" val="0"/>
                        </a:ext>
                      </a:extLst>
                    </a:blip>
                    <a:stretch>
                      <a:fillRect/>
                    </a:stretch>
                  </pic:blipFill>
                  <pic:spPr>
                    <a:xfrm>
                      <a:off x="0" y="0"/>
                      <a:ext cx="2588260" cy="2588260"/>
                    </a:xfrm>
                    <a:prstGeom prst="rect">
                      <a:avLst/>
                    </a:prstGeom>
                  </pic:spPr>
                </pic:pic>
              </a:graphicData>
            </a:graphic>
          </wp:inline>
        </w:drawing>
      </w:r>
    </w:p>
    <w:sectPr w:rsidR="00977EE5">
      <w:headerReference w:type="default" r:id="rId9"/>
      <w:footerReference w:type="default" r:id="rId10"/>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88BA41" w14:textId="77777777" w:rsidR="00094E99" w:rsidRDefault="00094E99">
      <w:r>
        <w:separator/>
      </w:r>
    </w:p>
  </w:endnote>
  <w:endnote w:type="continuationSeparator" w:id="0">
    <w:p w14:paraId="546BCD2C" w14:textId="77777777" w:rsidR="00094E99" w:rsidRDefault="00094E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8B663" w14:textId="77777777" w:rsidR="002B0D8D" w:rsidRDefault="00094E99">
    <w:pPr>
      <w:pBdr>
        <w:top w:val="single" w:sz="4" w:space="2" w:color="CCCCCC"/>
      </w:pBdr>
      <w:spacing w:before="100"/>
    </w:pPr>
    <w:r>
      <w:rPr>
        <w:i/>
        <w:iCs/>
        <w:color w:val="888888"/>
        <w:sz w:val="16"/>
        <w:szCs w:val="16"/>
      </w:rPr>
      <w:t>Documento de uso técnico profesional — Análisis independiente del PET Gijón/</w:t>
    </w:r>
    <w:proofErr w:type="spellStart"/>
    <w:r>
      <w:rPr>
        <w:i/>
        <w:iCs/>
        <w:color w:val="888888"/>
        <w:sz w:val="16"/>
        <w:szCs w:val="16"/>
      </w:rPr>
      <w:t>Xixón</w:t>
    </w:r>
    <w:proofErr w:type="spellEnd"/>
    <w:r>
      <w:rPr>
        <w:i/>
        <w:iCs/>
        <w:color w:val="888888"/>
        <w:sz w:val="16"/>
        <w:szCs w:val="16"/>
      </w:rPr>
      <w:t xml:space="preserve"> 2025–2035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454AA0" w14:textId="77777777" w:rsidR="00094E99" w:rsidRDefault="00094E99">
      <w:r>
        <w:separator/>
      </w:r>
    </w:p>
  </w:footnote>
  <w:footnote w:type="continuationSeparator" w:id="0">
    <w:p w14:paraId="2EBBB38B" w14:textId="77777777" w:rsidR="00094E99" w:rsidRDefault="00094E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D9EEEE" w14:textId="77777777" w:rsidR="002B0D8D" w:rsidRDefault="00094E99">
    <w:pPr>
      <w:pBdr>
        <w:bottom w:val="single" w:sz="4" w:space="2" w:color="CCCCCC"/>
      </w:pBdr>
      <w:tabs>
        <w:tab w:val="right" w:pos="9026"/>
      </w:tabs>
      <w:spacing w:after="100"/>
    </w:pPr>
    <w:r>
      <w:rPr>
        <w:color w:val="888888"/>
        <w:sz w:val="16"/>
        <w:szCs w:val="16"/>
      </w:rPr>
      <w:t>INFORME TÉCNICO CRÍTICO — PET GIJÓN/XIXÓN 2025–2035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321C7"/>
    <w:multiLevelType w:val="hybridMultilevel"/>
    <w:tmpl w:val="2690C232"/>
    <w:lvl w:ilvl="0" w:tplc="A42A8A5C">
      <w:start w:val="1"/>
      <w:numFmt w:val="decimal"/>
      <w:lvlText w:val="%1."/>
      <w:lvlJc w:val="left"/>
      <w:pPr>
        <w:ind w:left="720" w:hanging="360"/>
      </w:pPr>
    </w:lvl>
    <w:lvl w:ilvl="1" w:tplc="71EE4790">
      <w:numFmt w:val="decimal"/>
      <w:lvlText w:val=""/>
      <w:lvlJc w:val="left"/>
    </w:lvl>
    <w:lvl w:ilvl="2" w:tplc="C6D801E8">
      <w:numFmt w:val="decimal"/>
      <w:lvlText w:val=""/>
      <w:lvlJc w:val="left"/>
    </w:lvl>
    <w:lvl w:ilvl="3" w:tplc="610C7ABE">
      <w:numFmt w:val="decimal"/>
      <w:lvlText w:val=""/>
      <w:lvlJc w:val="left"/>
    </w:lvl>
    <w:lvl w:ilvl="4" w:tplc="389889AC">
      <w:numFmt w:val="decimal"/>
      <w:lvlText w:val=""/>
      <w:lvlJc w:val="left"/>
    </w:lvl>
    <w:lvl w:ilvl="5" w:tplc="2F5E8F16">
      <w:numFmt w:val="decimal"/>
      <w:lvlText w:val=""/>
      <w:lvlJc w:val="left"/>
    </w:lvl>
    <w:lvl w:ilvl="6" w:tplc="DCB22610">
      <w:numFmt w:val="decimal"/>
      <w:lvlText w:val=""/>
      <w:lvlJc w:val="left"/>
    </w:lvl>
    <w:lvl w:ilvl="7" w:tplc="8E5C00A4">
      <w:numFmt w:val="decimal"/>
      <w:lvlText w:val=""/>
      <w:lvlJc w:val="left"/>
    </w:lvl>
    <w:lvl w:ilvl="8" w:tplc="EB0CCA34">
      <w:numFmt w:val="decimal"/>
      <w:lvlText w:val=""/>
      <w:lvlJc w:val="left"/>
    </w:lvl>
  </w:abstractNum>
  <w:abstractNum w:abstractNumId="1" w15:restartNumberingAfterBreak="0">
    <w:nsid w:val="212B1C5A"/>
    <w:multiLevelType w:val="hybridMultilevel"/>
    <w:tmpl w:val="D4E87DDC"/>
    <w:lvl w:ilvl="0" w:tplc="E266EDAA">
      <w:start w:val="1"/>
      <w:numFmt w:val="bullet"/>
      <w:lvlText w:val="●"/>
      <w:lvlJc w:val="left"/>
      <w:pPr>
        <w:ind w:left="720" w:hanging="360"/>
      </w:pPr>
    </w:lvl>
    <w:lvl w:ilvl="1" w:tplc="23B071C0">
      <w:start w:val="1"/>
      <w:numFmt w:val="bullet"/>
      <w:lvlText w:val="○"/>
      <w:lvlJc w:val="left"/>
      <w:pPr>
        <w:ind w:left="1440" w:hanging="360"/>
      </w:pPr>
    </w:lvl>
    <w:lvl w:ilvl="2" w:tplc="4B44D8F4">
      <w:start w:val="1"/>
      <w:numFmt w:val="bullet"/>
      <w:lvlText w:val="■"/>
      <w:lvlJc w:val="left"/>
      <w:pPr>
        <w:ind w:left="2160" w:hanging="360"/>
      </w:pPr>
    </w:lvl>
    <w:lvl w:ilvl="3" w:tplc="AA389DF0">
      <w:start w:val="1"/>
      <w:numFmt w:val="bullet"/>
      <w:lvlText w:val="●"/>
      <w:lvlJc w:val="left"/>
      <w:pPr>
        <w:ind w:left="2880" w:hanging="360"/>
      </w:pPr>
    </w:lvl>
    <w:lvl w:ilvl="4" w:tplc="82C438B0">
      <w:start w:val="1"/>
      <w:numFmt w:val="bullet"/>
      <w:lvlText w:val="○"/>
      <w:lvlJc w:val="left"/>
      <w:pPr>
        <w:ind w:left="3600" w:hanging="360"/>
      </w:pPr>
    </w:lvl>
    <w:lvl w:ilvl="5" w:tplc="1BFE58C0">
      <w:start w:val="1"/>
      <w:numFmt w:val="bullet"/>
      <w:lvlText w:val="■"/>
      <w:lvlJc w:val="left"/>
      <w:pPr>
        <w:ind w:left="4320" w:hanging="360"/>
      </w:pPr>
    </w:lvl>
    <w:lvl w:ilvl="6" w:tplc="271484F2">
      <w:start w:val="1"/>
      <w:numFmt w:val="bullet"/>
      <w:lvlText w:val="●"/>
      <w:lvlJc w:val="left"/>
      <w:pPr>
        <w:ind w:left="5040" w:hanging="360"/>
      </w:pPr>
    </w:lvl>
    <w:lvl w:ilvl="7" w:tplc="BF9C667E">
      <w:start w:val="1"/>
      <w:numFmt w:val="bullet"/>
      <w:lvlText w:val="●"/>
      <w:lvlJc w:val="left"/>
      <w:pPr>
        <w:ind w:left="5760" w:hanging="360"/>
      </w:pPr>
    </w:lvl>
    <w:lvl w:ilvl="8" w:tplc="858A82B6">
      <w:start w:val="1"/>
      <w:numFmt w:val="bullet"/>
      <w:lvlText w:val="●"/>
      <w:lvlJc w:val="left"/>
      <w:pPr>
        <w:ind w:left="6480" w:hanging="360"/>
      </w:pPr>
    </w:lvl>
  </w:abstractNum>
  <w:abstractNum w:abstractNumId="2" w15:restartNumberingAfterBreak="0">
    <w:nsid w:val="69D600B8"/>
    <w:multiLevelType w:val="hybridMultilevel"/>
    <w:tmpl w:val="72CC55C4"/>
    <w:lvl w:ilvl="0" w:tplc="CD20D6C4">
      <w:start w:val="1"/>
      <w:numFmt w:val="bullet"/>
      <w:lvlText w:val="•"/>
      <w:lvlJc w:val="left"/>
      <w:pPr>
        <w:ind w:left="720" w:hanging="360"/>
      </w:pPr>
    </w:lvl>
    <w:lvl w:ilvl="1" w:tplc="CAB2BF9A">
      <w:numFmt w:val="decimal"/>
      <w:lvlText w:val=""/>
      <w:lvlJc w:val="left"/>
    </w:lvl>
    <w:lvl w:ilvl="2" w:tplc="F51CD600">
      <w:numFmt w:val="decimal"/>
      <w:lvlText w:val=""/>
      <w:lvlJc w:val="left"/>
    </w:lvl>
    <w:lvl w:ilvl="3" w:tplc="64322814">
      <w:numFmt w:val="decimal"/>
      <w:lvlText w:val=""/>
      <w:lvlJc w:val="left"/>
    </w:lvl>
    <w:lvl w:ilvl="4" w:tplc="FC02A47A">
      <w:numFmt w:val="decimal"/>
      <w:lvlText w:val=""/>
      <w:lvlJc w:val="left"/>
    </w:lvl>
    <w:lvl w:ilvl="5" w:tplc="52F01B76">
      <w:numFmt w:val="decimal"/>
      <w:lvlText w:val=""/>
      <w:lvlJc w:val="left"/>
    </w:lvl>
    <w:lvl w:ilvl="6" w:tplc="EFC88A9C">
      <w:numFmt w:val="decimal"/>
      <w:lvlText w:val=""/>
      <w:lvlJc w:val="left"/>
    </w:lvl>
    <w:lvl w:ilvl="7" w:tplc="1D96701C">
      <w:numFmt w:val="decimal"/>
      <w:lvlText w:val=""/>
      <w:lvlJc w:val="left"/>
    </w:lvl>
    <w:lvl w:ilvl="8" w:tplc="4998B2E0">
      <w:numFmt w:val="decimal"/>
      <w:lvlText w:val=""/>
      <w:lvlJc w:val="left"/>
    </w:lvl>
  </w:abstractNum>
  <w:num w:numId="1" w16cid:durableId="1963875424">
    <w:abstractNumId w:val="1"/>
    <w:lvlOverride w:ilvl="0">
      <w:startOverride w:val="1"/>
    </w:lvlOverride>
  </w:num>
  <w:num w:numId="2" w16cid:durableId="1462648878">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0D8D"/>
    <w:rsid w:val="00094E99"/>
    <w:rsid w:val="002A59B9"/>
    <w:rsid w:val="002B0D8D"/>
    <w:rsid w:val="00300BA0"/>
    <w:rsid w:val="0033060E"/>
    <w:rsid w:val="007B6DDF"/>
    <w:rsid w:val="00847DB3"/>
    <w:rsid w:val="00977EE5"/>
    <w:rsid w:val="009B209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98E6C3"/>
  <w15:docId w15:val="{43C75839-4CCA-4A22-9575-6050C43DA1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uiPriority w:val="9"/>
    <w:qFormat/>
    <w:pPr>
      <w:spacing w:before="400" w:after="200"/>
      <w:outlineLvl w:val="0"/>
    </w:pPr>
    <w:rPr>
      <w:b/>
      <w:bCs/>
      <w:color w:val="1F3864"/>
      <w:sz w:val="32"/>
      <w:szCs w:val="32"/>
    </w:rPr>
  </w:style>
  <w:style w:type="paragraph" w:styleId="Ttulo2">
    <w:name w:val="heading 2"/>
    <w:uiPriority w:val="9"/>
    <w:unhideWhenUsed/>
    <w:qFormat/>
    <w:pPr>
      <w:spacing w:before="300" w:after="120"/>
      <w:outlineLvl w:val="1"/>
    </w:pPr>
    <w:rPr>
      <w:b/>
      <w:bCs/>
      <w:color w:val="2E5FA3"/>
      <w:sz w:val="26"/>
      <w:szCs w:val="26"/>
    </w:rPr>
  </w:style>
  <w:style w:type="paragraph" w:styleId="Ttulo3">
    <w:name w:val="heading 3"/>
    <w:uiPriority w:val="9"/>
    <w:semiHidden/>
    <w:unhideWhenUsed/>
    <w:qFormat/>
    <w:pPr>
      <w:spacing w:before="200" w:after="100"/>
      <w:outlineLvl w:val="2"/>
    </w:pPr>
    <w:rPr>
      <w:b/>
      <w:bCs/>
      <w:color w:val="1F3864"/>
      <w:sz w:val="24"/>
      <w:szCs w:val="24"/>
    </w:rPr>
  </w:style>
  <w:style w:type="paragraph" w:styleId="Ttulo4">
    <w:name w:val="heading 4"/>
    <w:uiPriority w:val="9"/>
    <w:semiHidden/>
    <w:unhideWhenUsed/>
    <w:qFormat/>
    <w:pPr>
      <w:outlineLvl w:val="3"/>
    </w:pPr>
    <w:rPr>
      <w:i/>
      <w:iCs/>
      <w:color w:val="2E74B5"/>
    </w:rPr>
  </w:style>
  <w:style w:type="paragraph" w:styleId="Ttulo5">
    <w:name w:val="heading 5"/>
    <w:uiPriority w:val="9"/>
    <w:semiHidden/>
    <w:unhideWhenUsed/>
    <w:qFormat/>
    <w:pPr>
      <w:outlineLvl w:val="4"/>
    </w:pPr>
    <w:rPr>
      <w:color w:val="2E74B5"/>
    </w:rPr>
  </w:style>
  <w:style w:type="paragraph" w:styleId="Ttulo6">
    <w:name w:val="heading 6"/>
    <w:uiPriority w:val="9"/>
    <w:semiHidden/>
    <w:unhideWhenUsed/>
    <w:qFormat/>
    <w:pPr>
      <w:outlineLvl w:val="5"/>
    </w:pPr>
    <w:rPr>
      <w:color w:val="1F4D7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uiPriority w:val="10"/>
    <w:qFormat/>
    <w:rPr>
      <w:sz w:val="56"/>
      <w:szCs w:val="56"/>
    </w:rPr>
  </w:style>
  <w:style w:type="paragraph" w:customStyle="1" w:styleId="Fuerte1">
    <w:name w:val="Fuerte1"/>
    <w:qFormat/>
    <w:rPr>
      <w:b/>
      <w:bCs/>
    </w:rPr>
  </w:style>
  <w:style w:type="paragraph" w:styleId="Prrafodelista">
    <w:name w:val="List Paragraph"/>
    <w:qFormat/>
  </w:style>
  <w:style w:type="character" w:styleId="Hipervnculo">
    <w:name w:val="Hyperlink"/>
    <w:uiPriority w:val="99"/>
    <w:unhideWhenUsed/>
    <w:rPr>
      <w:color w:val="0563C1"/>
      <w:u w:val="single"/>
    </w:rPr>
  </w:style>
  <w:style w:type="character" w:styleId="Refdenotaalpie">
    <w:name w:val="footnote reference"/>
    <w:uiPriority w:val="99"/>
    <w:semiHidden/>
    <w:unhideWhenUsed/>
    <w:rPr>
      <w:vertAlign w:val="superscript"/>
    </w:rPr>
  </w:style>
  <w:style w:type="paragraph" w:styleId="Textonotapie">
    <w:name w:val="footnote text"/>
    <w:link w:val="TextonotapieCar"/>
    <w:uiPriority w:val="99"/>
    <w:semiHidden/>
    <w:unhideWhenUsed/>
    <w:rPr>
      <w:sz w:val="20"/>
      <w:szCs w:val="20"/>
    </w:rPr>
  </w:style>
  <w:style w:type="character" w:customStyle="1" w:styleId="TextonotapieCar">
    <w:name w:val="Texto nota pie Car"/>
    <w:link w:val="Textonotapie"/>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17</Pages>
  <Words>4937</Words>
  <Characters>29178</Characters>
  <Application>Microsoft Office Word</Application>
  <DocSecurity>0</DocSecurity>
  <Lines>583</Lines>
  <Paragraphs>268</Paragraphs>
  <ScaleCrop>false</ScaleCrop>
  <Company/>
  <LinksUpToDate>false</LinksUpToDate>
  <CharactersWithSpaces>33847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daniel dv</cp:lastModifiedBy>
  <cp:revision>3</cp:revision>
  <dcterms:created xsi:type="dcterms:W3CDTF">2026-02-25T08:17:00Z</dcterms:created>
  <dcterms:modified xsi:type="dcterms:W3CDTF">2026-02-25T08:18:00Z</dcterms:modified>
</cp:coreProperties>
</file>